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KC16.037328 vom 12. Januar 2017</w:t>
      </w:r>
    </w:p>
    <w:p>
      <w:r>
        <w:t>VD Tribunal cantonal, 2017-01-12, FR</w:t>
      </w:r>
    </w:p>
    <w:p>
      <w:r>
        <w:rPr>
          <w:b/>
        </w:rPr>
        <w:t xml:space="preserve">Quelle: </w:t>
      </w:r>
      <w:r>
        <w:t>https://mcp.opencaselaw.ch/entscheid/vd_gerichte_KC16.037328</w:t>
      </w:r>
    </w:p>
    <w:p>
      <w:r>
        <w:t>FR: VD_GERICHTE KC16.037328 du 12 janvier 2017</w:t>
      </w:r>
    </w:p>
    <w:p>
      <w:r>
        <w:t>IT: VD_GERICHTE KC16.037328 del 12 gennaio 2017</w:t>
      </w:r>
    </w:p>
    <w:p>
      <w:pPr>
        <w:pStyle w:val="Heading2"/>
      </w:pPr>
      <w:r>
        <w:t>Volltext</w:t>
      </w:r>
    </w:p>
    <w:p>
      <w:r>
        <w:t>TRIBUNAL CANTONAL KC16.037328-170045 8 CO UR DE S P OURSUITES ET FAILL ITES ________________________________________________ Arrêt du 12 janvier 2017 ___________________ Composition :Mme ROULEAU, présidente Mme Byrde et M. Maillard, juges Greffier : M. Elsig ***** Art. 321 al. 1 CPC Vu le prononcé rendu sous forme de dispositif le 5 octobre 2016, à la suite de l’interpellation du poursuivi, par le Juge de paix du district de Lausanne, notifié au poursuivi le 27 octobre 2016, prononçant la mainlevée définitive de l’opposition formée par B.________, à [...], à la poursuite n° 7'615'064 de l’Office des poursuites du district de Lausanne exercée par CONFÉDÉRATION SUISSE, représentée par l’Office d’impôt des districts de Lausanne et de l’Ouest lausannois, à Lausanne, fixant les frais judiciaires à 120 fr., les mettant à la charge de poursuivi et disant que celui-ci rembourserait à la poursuivante son avance de frais, par 120 fr., sans allocation de dépens pour le surplus, 111</w:t>
      </w:r>
    </w:p>
    <w:p>
      <w:r>
        <w:t>- 2 - vu l’écriture du poursuivi du 2 novembre 2016, reçue par le greffe de la justice de paix le 4 novembre 2016, par laquelle celui-ci manifeste sa surprise face à la décision prise, déclare ne pouvoir que s’y opposer « sans plus d’explications » et demande si le juge de paix avait reçu le courrier exposant son point de vue, vu les motifs du prononcé adressés aux parties le 6 décembre 2016 et notifiés au poursuivi le 14 décembre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au recourant le 27 octobre 2016,</w:t>
      </w:r>
    </w:p>
    <w:p>
      <w:r>
        <w:t>- 3 - que l’écriture du recourant, reçue par le juge de paix le 4 novembre 2016, a été déposée à temps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le recourant ne saurait renvoyer aux moyens développés en premier instance (ibid.), que ni l’art. 132 al. 1 et 2 ni l’art. 56 CPC ne sont applicables en cas d’absence de motivation d’un acte de recours (ibid.), qu’en l’espèce, le recourant ne développe aucune argumentation à l’encontre de la motivation du prononcé attaqué,</w:t>
      </w:r>
    </w:p>
    <w:p>
      <w:r>
        <w:t>- 4 - que le renvoi à une écriture antérieure, au surplus indéterminée, n’est pas admissible, vu la jurisprudence susmentionnée, que son recours doit en conséquence être déclaré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B.________, - Office d’impôt des districts de Lausanne et de l’Ouest lausannois (pour Confédération suisse).</w:t>
      </w:r>
    </w:p>
    <w:p>
      <w:r>
        <w:t>- 5 - La Cour des poursuites et faillites considère que la valeur litigieuse est de 914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