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KC16.031873 vom 8. Dezember 2016</w:t>
      </w:r>
    </w:p>
    <w:p>
      <w:r>
        <w:t>VD Tribunal cantonal, 2016-12-08, FR</w:t>
      </w:r>
    </w:p>
    <w:p>
      <w:r>
        <w:rPr>
          <w:b/>
        </w:rPr>
        <w:t xml:space="preserve">Quelle: </w:t>
      </w:r>
      <w:r>
        <w:t>https://mcp.opencaselaw.ch/entscheid/vd_gerichte_KC16.031873</w:t>
      </w:r>
    </w:p>
    <w:p>
      <w:r>
        <w:t>FR: VD_GERICHTE KC16.031873 du 8 décembre 2016</w:t>
      </w:r>
    </w:p>
    <w:p>
      <w:r>
        <w:t>IT: VD_GERICHTE KC16.031873 del 8 dicembre 2016</w:t>
      </w:r>
    </w:p>
    <w:p>
      <w:pPr>
        <w:pStyle w:val="Heading2"/>
      </w:pPr>
      <w:r>
        <w:t>Volltext</w:t>
      </w:r>
    </w:p>
    <w:p>
      <w:r>
        <w:t>TRIBUNAL CANTONAL KC16.031873-162070 370 CO UR DE S P OURSUITES ET FAILL ITES ________________________________________________ Arrêt du 8 décembre 2016 _____________________ Composition :Mme ROULEAU, présidente MM. Colombini et Maillard, juges Greffier : M. Elsig ***** Art. 321 al. 1 CPC Vu le prononcé rendu sous forme de dispositif le 6 octobre 2016, à la suite de l’audience du même jour, par le Juge de paix du district de Nyon, notifié à la poursuivante le 11 octobre 2016, rejetant la requête déposée par T.________ SA, à [...], tendant à la mainlevée de l’opposition formée par N.________ SÀRL, à [...], à la poursuite n° 7'903'719 de l’Office des poursuites du district de Nyon (I), fixant les frais judiciaires à 150 fr. (II), les mettant à la charge de la poursuivante (III) et n’allouant pas de dépens (IV), vu le recours, daté du 18 octobre 2016 et remis à la poste le 20 octobre 2016 par la poursuivante, 111</w:t>
      </w:r>
    </w:p>
    <w:p>
      <w:r>
        <w:t>- 2 - vu les motifs du prononcés adressés aux parties le 18 novembre 2016 et notifiés à la poursuivante le 21 novembre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à la recourante le 11 octobre 2016, que le recours, déposé le 20 octobre 2016, l’a été en temps utile ; attendu que la partie qui entend user d'une voie de droit a la charge de se conformer à certaines règles de forme, à défaut de quoi sa démarche sera frappée d'irrecevabilité (Jeandin, in</w:t>
      </w:r>
    </w:p>
    <w:p>
      <w:r>
        <w:t>- 3 -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exprime, dans son recours du 18 octobre 2016, son incompréhension face au prononcé attaqué, expose sa situation, et soutient qu’elle s’est conformée à la procédure, que, ce faisant, elle ne discute pas de la motivation du prononcé, qui rejette la requête de mainlevée pour le motif que la recourante n’a produit aucune reconnaissance de dette signée par l’intimée, que le recours ne remplit dès lors pas les exigences de motivation posées par la jurisprudence susmentionnée,</w:t>
      </w:r>
    </w:p>
    <w:p>
      <w:r>
        <w:t>- 4 - qu’il est en conséquence irrecevable ; attendu qu’au demeurant, le juge de la mainlevée examine uniquement l’existence de la force probante du titre – la reconnaissance de dette dans le cas de la mainlevée provisoire – produit par le créancier, et non la réalité ou la validité de la créance (ATF 132 III 140 consid. 4.1.1 ;TF 5A_878/2011 du 5 mars 2012 consid. 2.1). que le créancier qui, comme en l’espèce, n’est pas au bénéfice d’une reconnaissance de dette peut toujours faire valoir ses droits dans un procès ordinaire où il pourra établir le bien-fondé de sa créance par d’autres moyens de preuve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w:t>
      </w:r>
    </w:p>
    <w:p>
      <w:r>
        <w:t>- 5 - Du L'arrêt qui précède, dont la rédaction a été approuvée à huis clos, est notifié, par l'envoi de photocopies, à : - T.________ SA, - N.________ Sàrl. La Cour des poursuites et faillites considère que la valeur litigieuse est de 2’834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