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KC16.015406 vom 7. Oktober 2016</w:t>
      </w:r>
    </w:p>
    <w:p>
      <w:r>
        <w:t>VD Tribunal cantonal, 2016-10-07, FR</w:t>
      </w:r>
    </w:p>
    <w:p>
      <w:r>
        <w:rPr>
          <w:b/>
        </w:rPr>
        <w:t xml:space="preserve">Quelle: </w:t>
      </w:r>
      <w:r>
        <w:t>https://mcp.opencaselaw.ch/entscheid/vd_gerichte_KC16.015406</w:t>
      </w:r>
    </w:p>
    <w:p>
      <w:r>
        <w:t>FR: VD_GERICHTE KC16.015406 du 7 octobre 2016</w:t>
      </w:r>
    </w:p>
    <w:p>
      <w:r>
        <w:t>IT: VD_GERICHTE KC16.015406 del 7 ottobre 2016</w:t>
      </w:r>
    </w:p>
    <w:p>
      <w:pPr>
        <w:pStyle w:val="Heading2"/>
      </w:pPr>
      <w:r>
        <w:t>Erwägungen</w:t>
      </w:r>
    </w:p>
    <w:p>
      <w:r>
        <w:rPr>
          <w:b/>
        </w:rPr>
        <w:t>E. 1</w:t>
      </w:r>
    </w:p>
    <w:p>
      <w:r>
        <w:t>A la réquisition de L.________ AG, l’Office des poursuites du district de la Riviera-Pays-d’Enhaut a notifié le 8 février 2016 à V.________ un commandement de payer la somme de 98'611 fr. 55, avec intérêt à 3,5 % l’an dès le 1er septembre 2014 dans la poursuite n° 7'758'138 indiquant comme titre de la créance ou cause de l’obligation : ʺPersonalwartungsvertrag und Materiallieferungen (Hard – und Software) an die Firma B.________ SA, [...], [...]. Forderung auf der Grundlage der ʺVereinbarung vom 8.9.2014ʺ zwischen V.________, [...] und L.________ AG, [...] und die ʺListe 3 Mahnungʺ von 31.8.2014.ʺ Le poursuivi a formé opposition totale.</w:t>
      </w:r>
    </w:p>
    <w:p>
      <w:r>
        <w:rPr>
          <w:b/>
        </w:rPr>
        <w:t>E. 2</w:t>
      </w:r>
    </w:p>
    <w:p>
      <w:r>
        <w:t>Montant des factures en souffrance, état au 31.8.2014 Le montant des factures en souffrance en date du 31 août 2014 s'élève à CHF 98 611,55. Le relevé ci-joint « Liste 3e rappel L.________ AG, du 31.8.2014 » faisant état d'un total identique fait partie intégrante de la présente convention et le responsable solidaire l'accepte explicitement comme étant correcte.</w:t>
      </w:r>
    </w:p>
    <w:p>
      <w:r>
        <w:rPr>
          <w:b/>
        </w:rPr>
        <w:t>E. 3</w:t>
      </w:r>
    </w:p>
    <w:p>
      <w:r>
        <w:t>Intérêts moratoires Les factures en souffrance génèrent des intérêts moratoires de 3,5% p.a.</w:t>
      </w:r>
    </w:p>
    <w:p>
      <w:r>
        <w:rPr>
          <w:b/>
        </w:rPr>
        <w:t>E. 4</w:t>
      </w:r>
    </w:p>
    <w:p>
      <w:r>
        <w:t>Règlement L'objectif fixé consiste en un règlement de l'ensemble des factures en souffrance conformément à la « Liste 3e rappel L.________ AG, du 31.8.2014 »</w:t>
      </w:r>
    </w:p>
    <w:p>
      <w:r>
        <w:t>- 4 - dans un délai de 12 mois (pour le 31 août 2015), y compris les intérêts moratoires accumulés.</w:t>
      </w:r>
    </w:p>
    <w:p>
      <w:r>
        <w:rPr>
          <w:b/>
        </w:rPr>
        <w:t>E. 5</w:t>
      </w:r>
    </w:p>
    <w:p>
      <w:r>
        <w:t>Ampleur et durée de la responsabilité solidaire L'ampleur de la responsabilité solidaire est restreinte aux factures en souffrance explicitement mentionnées dans la « Liste 3e rappel L.________ AG, du 31.8.2014 » et n'englobe pas les factures émises après le 31 août 2014. Le responsable solidaire assure cependant en parallèle que les nouvelles factures seront réglées selon un délai utile. La responsabilité solidaire prend automatiquement fin suite au paiement de la dernière facture mentionnée ainsi que de la facture finale concernant les intérêts moratoires accumulés. 3. For Le for compétent afin de connaître des litiges issus de la présente convention est [...]. Les signataires suivants déclarent avoir lu la convention et l'approuver intégralement : [Signature] L.________ AG / fournisseur V.________, responsable solidaire [Signature] [...], le 8.9.2014 S.________ [...], le 8.9.2014 » - un copie de la « Liste 3. Mahnung vom 31.8.2014 » dont il ressort que le montant en souffrance au 31 août 2014 s’élevait à 98'611 fr. 55, TVA incluse ; - une copie de rappels adressés par la poursuivante à B.________ SA les 27 juin, 18 août et 8 septembre 2014 ; - une copie de courriels et de SMS en allemand échangés par les parties du 15 juillet au 28 octobre 2014. Par courrier recommandé du 17 mai 2016, le Juge de paix du district de la Riviera-Pays-d’Enhaut a notifié la requête au poursuivi et a cité les parties à comparaître à son audience du 5 juillet 2016.</w:t>
      </w:r>
    </w:p>
    <w:p>
      <w:r>
        <w:t>- 5 - Dans ses déterminations du 4 juillet 2016, le poursuivi a conclu, avec dépens, au rejet de la requête, son opposition étant maintenue. A l’audience, la poursuivante a produit des extraits de registres du commerce cantonaux attestant que le poursuivi était associé avec signature individuelle ou directeur avec signature individuelle ou encore administrateur avec signature individuelle de quatre autres sociétés. 3. Par prononcé du 14 juillet 2016, notifié au poursuivi le lendemain, le Juge de paix du district de la Riviera-Pays-d’Enhaut a prononcé la mainlevée provisoire de l’opposition à concurrence de 98'611 fr. 55, avec intérêt à 3,5 % l’an dès le 1er septembre 2014 (I), fixé à 480 fr. les frais judiciaires (II), les a mis à la charge du poursuivi (III) et dit qu’en conséquence celui-ci rembourserait à la poursuivante son avance de frais, par 480 fr. et lui verserait 2'000 fr. à titre de dépens (IV). Le 15 juillet 2016, le poursuivi a requis la motivation du prononcé. Les motifs du prononcé ont été adressés aux parties le 2 août 2016 et notifié au poursuivi le lendemain.. 4. Par acte du 15 août 2016, le poursuivi a recouru contre ce prononcé en concluant, avec dépens de première et de deuxième instance, à sa réforme en ce sens que la requête de mainlevée est rejetée et que son opposition est maintenue. Par décision du 17 août 2016, la Présidente de la Cour des poursuites et faillites a admis la requête d’effet suspensif contenue dans le recours.</w:t>
      </w:r>
    </w:p>
    <w:p>
      <w:r>
        <w:t>- 6 - Dans ses déterminations du 16 septembre 2016, l’intimée L.________ AG a conclu, avec dépens, au rejet du recours. En d roit : I. Le recours, écrit et motivé, a été déposé dans les formes requises (art. 321 al. 1 CPC [Code de procédure civile du 19 décembre 2008, RS 272]) et en temps utile, dans le délai de dix jours suivant la notification de la décision motivée (art. 321 al. 2 CPC). Il est ainsi recevable. Les déterminations de l'intimée, déposées dans le délai de l'art. 322 al. 2 CPC, sont également recevables. II. Le premier juge a notamment considéré qu’il résultait de la convention du 8 septembre 2014 que le recourant s’était reconnu solidairement responsable, à titre privé, de la dette de la société B.________ SA auprès de l’intimée à concurrence d’un montant de 98'611 fr. 55, qu’en raison de sa position d’administrateur unique avec signature individuelle de B.________ SA, il avait un intérêt personnel et matériel à l’accord, soit que l’intimée continue à fournir ses services informatiques à sa société, et qu’en sa qualité d’administrateur de plusieurs autres sociétés, il était par ailleurs rompu aux affaires de sorte que les termes clairs de la convention pouvaient lui être imputés. Ces différents éléments permettaient de retenir, au stade de la mainlevée, que l’engagement pris par le recourant ne constituait pas un cautionnement mais une reprise cumulative de dette, soumise à aucune forme particulière. Le premier juge a ensuite estimé que la dette était exigible, le recourant n’ayant pas démontré que B.________ SA, dont la faillite avait par ailleurs été prononcée le 21 janvier 2016, aurait payé le montant dû.</w:t>
      </w:r>
    </w:p>
    <w:p>
      <w:r>
        <w:t>- 7 - Le recourant soutient en substance que les termes utilisés dans la convention signée le 8 septembre 2014 ne permettraient pas de considérer que les parties ont expressément opté pour l’institution de la reprise cumulative de dette, que certaines clauses de cette convention excluraient l’existence d’un engagement indépendant de celui de B.________ SA, que l’existence d’un intérêt matériel et immédiat du recourant ne serait pas établi et qu’enfin rien, pas même le fait qu’il soit administrateur d’autres sociétés, ne permettrait de considérer que le recourant serait rompu aux actes d’intercession dans sa pratique ou dans sa formation. En d’autres termes, il considère que la convention du 8 septembre 2014 constitue un cautionnement qui, faute d’avoir été passé en la forme authentique, serait frappé de nullité. a/aa)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En vertu de l’art. 82 al. 2 LP, le juge prononce la mainlevée provisoire de l’opposition, à moins que le débiteur ne rende vraisemblable sa libération. La vraisemblance du moyen libératoire suffit à mettre en échec la requête de mainlevée provisoire (Gilliéron, Commentaire de la loi fédérale sur la poursuite pour dettes et la faillite,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w:t>
      </w:r>
    </w:p>
    <w:p>
      <w:r>
        <w:t>- 8 - doive exclure la possibilité que les faits aient pu se dérouler autrement (ATF 132 III 140 consid. 4.1.2, rés. in JdT 2006 II 187 ; TF 5A_652/2011 du 28 février 2012 consid. 3.2.2; CPF, 25 novembre 2010/452 et les réf. citées ; Staehelin, Basler Kommentar, 2e éd., nn. 87 à 89 ad art. 82 LP et les réf. citées). Parmi les moyens libératoires figurent ceux que le juge peut ou doit relever d'office, notamment ceux de la violation de règles impératives prescrites à peine de nullité, en particulier les règles de formes imposées par l'art. 493 CO (loi fédérale du 30 mars 1911 complétant le code civil suisse, livre cinquième : Droit des obligations ; RS 220) pour la validité d'un acte de cautionnement (TF 5A_849/2012 du 25 juin 2013 et les réf. citées; Gilliéron, op. cit., nn. 75 et 81 ad art. 82 LP). bb) Il y a solidarité entre plusieurs débiteurs lorsqu’ils déclarent s’obliger de manière qu’à l’égard du créancier, chacun d’eux soit tenu pour le tout (art. 143 al. 1 CO). Le créancier peut alors, à son choix, exiger de tous les débiteurs solidaires ou de l’un d’eux l’exécution intégrale ou partielle de l’obligation (art. 144 al. 1 CO). La solidarité n’est jamais présumée ; elle naît soit par la volonté des parties, soit par la loi (Romy, Commentaire romand, n. 5 ad art. 143 CO). Conformément à l’art. 1 al. 2 CO, l’engagement solidaire peut se former par actes concluants ou tacitement. L’engagement solidaire est dit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5A_739/2012 du 17 mai 2013 consid. 8.2.4 et les réf. citées). Elle se distingue d’autres formes de garanties, en particulier du cautionnement.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w:t>
      </w:r>
    </w:p>
    <w:p>
      <w:r>
        <w:t>- 9 - garantit la solvabilité du débiteur ou l'exécution d'un contrat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w:t>
      </w:r>
    </w:p>
    <w:p>
      <w:r>
        <w:t>- 10 -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Le Tribunal fédéral admet que le juge peut s'écarter d'un texte (en apparence) clair s'il résulte d'autres clauses du contrat, du but poursuivi par les parties ou d'autres circonstances qu'il ne restitue pas le sens de l'accord conclu (arrêt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w:t>
      </w:r>
    </w:p>
    <w:p>
      <w:r>
        <w:t>- 11 -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 b) En l’espèce, il est vrai que la convention signée le 8 septembre 2014 désigne le recourant comme « le responsable solidaire », que ce dernier s’est déclaré disposé à payer « à titre privé et solidaire », que son engagement est consigné sous une rubrique intitulée « responsabilité solidaire » et que ces termes sont également mentionnés à plusieurs reprises dans le corps du texte. Il n’est toutefois pas établi que le recourant dispose d’une formation juridique acquise en Suisse ni qu’il ait</w:t>
      </w:r>
    </w:p>
    <w:p>
      <w:r>
        <w:t>- 12 - été conseillé lors de l’élaboration de cette convention. Le recourant ne peut en outre pas être considéré comme rompu à l’usage de ces termes en raison de ses mandats d’administrateurs dans différentes sociétés dans la mesure où ces dernières ne paraissent pas, au vu des extraits du registre du commerce produits, devoir régulièrement s’occuper d’actes d’intercession dans leur pratique quotidienne. Enfin, le texte ne comporte aucune allusion aux motifs qui auraient détourné les parties de conclure un cautionnement. On ne peut donc déduire de la seule terminologie choisie l’existence d’une reprise cumulative de dette. Le recourant était en revanche administrateur, avec signature individuelle, de la société B.________ SA. À ce titre, il disposait donc d’un intérêt matériel et personnel à l’affaire (TF 5A_849/2012 du 25 juin 2013 consid. 2.2) lequel pourrait conforter l’existence d’un engagement solidaire. Une telle conclusion paraît toutefois se heurter au texte même de la convention signée qui, lorsqu’il s’agit de définir concrètement la portée de l’engagement du recourant, le limite à l’hypothèse où l’entreprise B.________ SA ne serait pas en mesure d’honorer ses obligations ou uniquement en mesure de les honorer partiellement (… für den Fall, dass die Fa. B.________ SA sa seinen Verpflichtungen nicht oder nur teilweise nachkommen kann.). Une telle formulation révèle le caractère accessoire de l’engagement. En effet, les parties ont ainsi manifesté leur volonté de n’engager la responsabilité du recourant qu’en cas de défaut de paiement de la société. Le but était donc de garantir la solvabilité de B.________ SA et pas de créer une obligation propre et indépendante du recourant, respectivement de permettre au créancier d’agir à sa guise contre ce dernier où la société. Ces différents éléments militent clairement en faveur de l’existence d’un acte de cautionnement. Dans la mesure où cette qualification doit être privilégiée en cas de doute sur la portée de l’engagement, il apparaît à tout le moins vraisemblable que l’accord passé par les parties le 8 septembre 2014 doive en définitive être qualifié de cautionnement et que ce dernier, faute d’avoir été passé en la forme authentique, doive être considéré comme nul.</w:t>
      </w:r>
    </w:p>
    <w:p>
      <w:r>
        <w:t>- 13 - En conséquence, la requête de mainlevée aurait dû être rejetée. III. Au vu de ce qui précède, le recours doit être admis et le prononcé attaqué réformé en ce sens que l’opposition au commandement de payer en cause est maintenue. Les frais judiciaires de première instance, arrêtés à 480 fr., doivent par conséquent être mis à la charge de la poursuivante (art. 106 al. 1 CPC). Le poursuivi peut en outre prétendre à des dépens de première instance arrêtés à 2'000 fr. (art. 6 TDC [tarif du 23 novembre 2010 des dépens en matière civile ; RSV 270.11.6]). Les frais judiciaires de deuxième instance, arrêtés à 750 fr., doivent être mis à la charge de l’intimée qui succombe et doit par conséquent rembourser au recourant son avance de frais à concurrence de ce montant (art. 106 al. 1 CPC). Le recourant a droit en outre à des dépens arrêtés à fr. 1'500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