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KC16.003905 vom 28. Juni 2016</w:t>
      </w:r>
    </w:p>
    <w:p>
      <w:r>
        <w:t>VD Tribunal cantonal, 2016-06-28, FR</w:t>
      </w:r>
    </w:p>
    <w:p>
      <w:r>
        <w:rPr>
          <w:b/>
        </w:rPr>
        <w:t xml:space="preserve">Quelle: </w:t>
      </w:r>
      <w:r>
        <w:t>https://mcp.opencaselaw.ch/entscheid/vd_gerichte_KC16.003905</w:t>
      </w:r>
    </w:p>
    <w:p>
      <w:r>
        <w:t>FR: VD_GERICHTE KC16.003905 du 28 juin 2016</w:t>
      </w:r>
    </w:p>
    <w:p>
      <w:r>
        <w:t>IT: VD_GERICHTE KC16.003905 del 28 giugno 2016</w:t>
      </w:r>
    </w:p>
    <w:p>
      <w:pPr>
        <w:pStyle w:val="Heading2"/>
      </w:pPr>
      <w:r>
        <w:t>Volltext</w:t>
      </w:r>
    </w:p>
    <w:p>
      <w:r>
        <w:t>TRIBUNAL CANTONAL KC16.003905-161057 192 CO UR DE S P OURSUITES ET FAILL ITES ________________________________________________ Arrêt du 28 juin 2016 __________________ Composition :Mme ROULEAU, présidente Mme Byrde et M. Maillard, juges Greffier : Mme Debétaz Ponnaz ***** Art. 321 al. 1 CPC Vu la décision rendue le 3 mars 2016, à la suite de l’interpellation de la partie poursuivie, et adressée pour notification aux parties le 17 mars 2016, par le Juge de paix du district de Lausanne, prononçant la mainlevée définitive, à concurrence de 11'871 fr. 15, plus intérêt à 3% l’an dès le 25 octobre 2015, et de 414 francs 30, sans intérêt, de l’opposition formée par W.________, à Lausanne, à la poursuite n° 7'709’098 de l’Office des poursuites du district de Lausanne exercée contre elle à l’instance de l’ETAT DE VAUD, représenté par l’Office d’impôt des districts de Lausanne et Ouest lausannois, arrêtant à 360 fr. les frais judiciaires, compensés avec l'avance de frais du poursuivant, les mettant à la charge de la poursuivie et disant que celle-ci 111</w:t>
      </w:r>
    </w:p>
    <w:p>
      <w:r>
        <w:t>- 2 - doit en conséquence rembourser au poursuivant son avance de frais à concurrence de 360 fr., sans allocation de dépens pour le surplus, vu la lettre, accompagnée d’une pièce, adressée le 5 avril 2016 au juge de paix, qui l’a considérée comme un recours valant demande de motivation, dans laquelle la poursuivie soutient que les poursuites de l’Office d’impôt du district de Lausanne sont « la conséquence directe du dérapage scandaleux » dans un autre dossier - dans lequel le juge n’aurait à tort pas reconnu son non-retour à meilleure fortune - et déclare maintenir son opposition totale à la poursuite en cause, vu les motifs du prononcé adressés aux parties le 1er et notifiés à la poursuivie le 9 juin 2016, vu l’écriture pouvant être comprise comme un recours, adressée par la poursuivie au Tribunal cantonal le 17 juin 2016, accompagnée de pièces, vu les pièces nouvelles produites par la recourante le 27 juin 2016,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w:t>
      </w:r>
    </w:p>
    <w:p>
      <w:r>
        <w:t>- 3 - qu’en l’espèce, l’écriture du 5 avril 2016 a été déposée en temps utile, compte tenu des féries de Pâques (art. 56 ch. 2 et 63 LP [loi fédérale sur la poursuite pour dettes et la faillite ; RS 281.1] ; JdT 1995 II 31), qu’il en va de même de celle du 17 juin 2016, que les pièces nouvelles jointes à ces écriture sont irrecevables, l’administration de preuves nouvelles en deuxième instance n’étant pas autorisée en matière sommaire de mainlevée d’opposition (art. 326 CPC), que, de même, les pièces produites le 27 juin 2016 sont irrecevables pour le double motif que leur production, après l’échéance du délai de recours, est tardive et qu’il s’agit de pièces nouvelles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w:t>
      </w:r>
    </w:p>
    <w:p>
      <w:r>
        <w:t>- 4 -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revanche, lorsqu’il a recouru dans le délai de demande de motivation, le recourant peut déposer un nouvel acte de recours motivé dans le délai de recours proprement dit, soit dans les dix jours suivant la notification du prononcé motivé (art. 321 al. 2 CPC), qu’en l’espèce, tant dans son écriture du 5 avril 2016 que dans celle du 17 juin 2016, la recourante se plaint de la façon dont son dossier a été traité dans une cause antérieure en opposition pour non-retour à meilleure fortune et se réfère à des pièces qui établiraient sa situation financière, qu’elle ne formule cependant aucun grief, motif ou moyen de recours reconnaissable contre le prononcé levant définitivement son opposition à la poursuite en cause, que son recours ne satisfait dès lors pas aux exigences posées par la loi et la jurisprudence et doit par conséquent être déclaré irrecevable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Mme W.________, - Office d’impôt des districts de Lausanne et Ouest lausannois (pour l’Etat de Vaud). La Cour des poursuites et faillites considère que la valeur litigieuse est de 12’285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- 6 -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