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KC16.001630 vom 9. März 2016</w:t>
      </w:r>
    </w:p>
    <w:p>
      <w:r>
        <w:t>VD Tribunal cantonal, 2016-03-09, FR</w:t>
      </w:r>
    </w:p>
    <w:p>
      <w:r>
        <w:rPr>
          <w:b/>
        </w:rPr>
        <w:t xml:space="preserve">Quelle: </w:t>
      </w:r>
      <w:r>
        <w:t>https://mcp.opencaselaw.ch/entscheid/vd_gerichte_KC16.001630</w:t>
      </w:r>
    </w:p>
    <w:p>
      <w:r>
        <w:t>FR: VD_GERICHTE KC16.001630 du 9 mars 2016</w:t>
      </w:r>
    </w:p>
    <w:p>
      <w:r>
        <w:t>IT: VD_GERICHTE KC16.001630 del 9 marzo 2016</w:t>
      </w:r>
    </w:p>
    <w:p>
      <w:pPr>
        <w:pStyle w:val="Heading2"/>
      </w:pPr>
      <w:r>
        <w:t>Volltext</w:t>
      </w:r>
    </w:p>
    <w:p>
      <w:r>
        <w:t>TRIBUNAL CANTONAL KC16.001630-160370 83 CO UR DE S P OURSUITES ET FAILL ITES ________________________________________________ Arrêt du 9 mars 2016 __________________ Composition :Mme ROULEAU, présidente MM. Hack et Maillard, juges Greffier : Mme Debétaz Ponnaz ***** Art. 59 al. 2 let. a CPC Vu le prononcé rendu le 25 février 2016 par le Juge de paix du district de La Riviera-Pays-d’Enhaut, prenant acte du retrait de la requête de mainlevée d’opposition dans la poursuite n° 7'681'697 de l’Office des poursuites du même district exercée contre G.________, à Chailly- Montreux, à l’instance de K.________, à Orsières, arrêtant à 75 fr. les frais judiciaires, compensés avec l’avance de frais du poursuivant, les mettant à la charge de ce dernier, disant qu’il n’est pas alloué de dépens et rayant la cause du rôle, 111</w:t>
      </w:r>
    </w:p>
    <w:p>
      <w:r>
        <w:t>- 2 - vu le recours déposé contre ce prononcé par G.________, le 2 mars 2016, disant en substance vouloir justifier son opposition à la poursuite en cause,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déposé le 2 mars 2016 à l’attention du premier juge, l’a été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poursuivant K.________ a retiré la requête de mainlevée d’opposition qu’il avait déposée contre le recourant, ce qui a clos la procédure en faveur de celui-ci, que le prononcé attaqué prend acte judiciairement de ce retrait et met les frais à la charge du poursuivant,</w:t>
      </w:r>
    </w:p>
    <w:p>
      <w:r>
        <w:t>- 3 - que cette décision est ainsi entièrement favorable au recourant, qui n’a dès lors aucun intérêt à recourir, que le recours est par conséquent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M. Jean-Marc Schlaeppi, agent d’affaires breveté (pour K.________). La Cour des poursuites et faillites considère que la valeur litigieuse est de 4’000 francs.</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