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KC15.047629 vom 26. Februar 2016</w:t>
      </w:r>
    </w:p>
    <w:p>
      <w:r>
        <w:t>VD Tribunal cantonal, 2016-02-26, FR</w:t>
      </w:r>
    </w:p>
    <w:p>
      <w:r>
        <w:rPr>
          <w:b/>
        </w:rPr>
        <w:t xml:space="preserve">Quelle: </w:t>
      </w:r>
      <w:r>
        <w:t>https://mcp.opencaselaw.ch/entscheid/vd_gerichte_KC15.047629</w:t>
      </w:r>
    </w:p>
    <w:p>
      <w:r>
        <w:t>FR: VD_GERICHTE KC15.047629 du 26 février 2016</w:t>
      </w:r>
    </w:p>
    <w:p>
      <w:r>
        <w:t>IT: VD_GERICHTE KC15.047629 del 26 febbraio 2016</w:t>
      </w:r>
    </w:p>
    <w:p>
      <w:pPr>
        <w:pStyle w:val="Heading2"/>
      </w:pPr>
      <w:r>
        <w:t>Volltext</w:t>
      </w:r>
    </w:p>
    <w:p>
      <w:r>
        <w:t>TRIBUNAL CANTONAL KC15.047629-160328 71 CO UR DE S P OURSUITES ET FAILL ITES ________________________________________________ Arrêt du 26 février 2016 ___________________ Composition :Mme ROULEAU, présidente Mme Carlsson et M. Hack, juges Greffier : Mme Debétaz Ponnaz ***** Art. 321 al. 1 CPC Vu la décision rendue le 10 décembre 2015 par le Juge de paix du district de Nyon, à la suite de l’audience du même jour, et adressée pour notification aux parties le 11 décembre 2015, prononçant, à concurrence de 800 fr., plus intérêt au taux de 5% l'an dès le 1er janvier 2015, la mainlevée définitive de l'opposition formée par S.________, à [...], à la poursuite n° 7'626’095 de l’Office des poursuites du district de Nyon exercée contre lui à l’instance de l’UNIVERSITÉ DE LAUSANNE, arrêtant à 120 fr. les frais judiciaires, compensés avec l'avance de frais de la poursuivante, les mettant à la charge du poursuivi et disant que ce dernier doit en conséquence rembourser à la poursuivante son avance de frais à concurrence de 120 fr., sans allocation de dépens pour le surplus, 111</w:t>
      </w:r>
    </w:p>
    <w:p>
      <w:r>
        <w:t>- 2 - vu le recours formé par le poursuivi contre ce prononcé, qui lui avait été notifié le 14 décembre 2015, par lettre datée du 23 et adressée le 28 décembre 2015 au juge de paix, dans laquelle il expose et développe le « motif principal » de son recours, résidant « dans un désaccord profond avec les motifs avancés par l’Université de Lausanne pour justifier la requête de mainlevée déposée le 21 octobre 2015 », vu les motifs du prononcé adressés pour notification aux parties le 10 et notifiés au poursuivi le 11 février 2016, vu le nouvel acte de recours déposé par le poursuivi contre ce prononcé le 23 février 2016, contenant une demande d’assistance judiciaire,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l’échéance du délai de recours de dix jours suivant la notification du prononcé motivé au poursuivi le 11 février 2016, tombant le dimanche 21 février 2016, était reportée au lundi 22 février 2016 (art. 142 al. 3 CPC), de sorte que l’acte déposé le 23 février 2016 l’a été tardivement et, par conséquent, est irrecevable, l’observation du délai pour recourir étant une condition de recevabilité du recours ; attendu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valant en outre demande de motivation,</w:t>
      </w:r>
    </w:p>
    <w:p>
      <w:r>
        <w:t>- 3 - qu’en l’espèce, le recours exercé le 28 décembre 2015 l’a été en temps utile, compte tenu des féries de Noël (art. 63 LP [loi fédérale sur la poursuite pour dettes et la faillite ; RS 281.1])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w:t>
      </w:r>
    </w:p>
    <w:p>
      <w:r>
        <w:t>- 4 - qu’en l’espèce, le poursuivi n'a formulé aucun grief, motif ou moyen de recours reconnaissable contre le prononcé levant définitivement son opposition à la poursuite en cause, qu’il expose, en revanche, sa propre version des faits qui ont conduit à l’arrêt de la Commission de recours de l’intimée invoqué comme titre de mainlevée et critique cet arrêt ainsi que les décisions qui l’ont précédé, rendues par la Commission sociale et le Service des affaires sociales et culturelles de l’intimée, qu’il est exclu, au stade de la mainlevée, de réexaminer le déroulement des faits et la procédure ayant abouti à la décision définitive et exécutoire fondant la poursuite en cause, que de jurisprudence constante, en effet, ni le juge de la mainlevée ni l’autorité de recours en cette matière n’ont le pouvoir de réexaminer le contenu d’une décision valant titre de mainlevée définitive (TF 5A_770/2011 du 23 janvier 2012, consid. 4.1 ; ATF 124 III 501 consid. 31 ; 113 III 6 consid. 1b, JdT 1989 II 70), qu’en conclusion, le recours de S.________, faute d'être motivé de manière conforme aux exigences posées par la loi et la jurisprudence en la matière, doit être déclaré irrecevable ; attendu que le présent arrêt peut être rendu sans frais ; attendu que, vu le sort du recours, la demande d’assistance judiciaire est sans objet.</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S.________, - Université de Lausanne.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