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KC15.040495 vom 4. Februar 2016</w:t>
      </w:r>
    </w:p>
    <w:p>
      <w:r>
        <w:t>VD Tribunal cantonal, 2016-02-04, FR</w:t>
      </w:r>
    </w:p>
    <w:p>
      <w:r>
        <w:rPr>
          <w:b/>
        </w:rPr>
        <w:t xml:space="preserve">Quelle: </w:t>
      </w:r>
      <w:r>
        <w:t>https://mcp.opencaselaw.ch/entscheid/vd_gerichte_KC15.040495</w:t>
      </w:r>
    </w:p>
    <w:p>
      <w:r>
        <w:t>FR: VD_GERICHTE KC15.040495 du 4 février 2016</w:t>
      </w:r>
    </w:p>
    <w:p>
      <w:r>
        <w:t>IT: VD_GERICHTE KC15.040495 del 4 febbraio 2016</w:t>
      </w:r>
    </w:p>
    <w:p>
      <w:pPr>
        <w:pStyle w:val="Heading2"/>
      </w:pPr>
      <w:r>
        <w:t>Volltext</w:t>
      </w:r>
    </w:p>
    <w:p>
      <w:r>
        <w:t>TRIBUNAL CANTONAL KC15.040495-160170 38 CO UR DE S P OURSUITES ET FAILL ITES ________________________________________________ Arrêt du 4 février 2016 __________________ Composition :Mme ROULEAU, présidente Mme Byrde et M. Maillard, juges Greffier : M. Elsig ***** Art. 130 al. 1 et 2, 321 al. 1 CPC Vu le prononcé rendu sous forme de dispositif le 9 décembre 2015, à la suite de l’audience du 1er décembre 2015, par le Juge de paix du district d’Aigle, notifié à la poursuivante le 10 décembre 2015, rejetant la requête de mainlevée d’opposition déposée par Z.________ GMBH, à [...], dans la poursuite n° 7'528'287 de l’Office des poursuites du district d’Aigle ouverte par elle contre I.________ SA, à [...], vu la demande de motivation de ce prononcé déposée par télécopie le 18 décembre 2015 et, dans le délai imparti pour corriger le vice de défaut de signature, par courrier de la poursuivante du 29 décembre 2015, 111</w:t>
      </w:r>
    </w:p>
    <w:p>
      <w:r>
        <w:t>- 2 - vu les motifs du prononcé adressés aux parties le 14 janvier 2016 et notifiés à la poursuivante le 18 janvier 2016, vu le courriel non motivé de émanant de l’adresse « [...]@Z.________ GmbH- [...] » la Justice de paix du district d’Aigle du 28 janvier 2016 déclarant ne pas accepter le prononcé susmentionné,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du 17 juin 2015 sur le Tribunal fédéral ; RS 173.110]), doit être également appliqué dans la procédure de recours régie par le CPC (ATF 140 III 636 ; Tappy, Les voies de droit du nouveau Code de procédure civile, in JdT 2010 III 115, spéc. p. 131), que selon l’art. 130 al. 1 CPC, les actes sont adressés au tribunal sous forme de documents papier ou électronique et doivent être signés, que la signature est une condition sine qua non de la validité des actes de procédure (Bohnet, Code de procédure civile commenté, n. 9 ad art. 130 CPC) que, lorsqu’ils sont transmis par voie électronique, le document contenant l’acte et les pièces annexées doivent être certifiés par la signature électronique reconnue de l’expéditeur, le Conseil fédéral déterminant le format du document (art. 130 al. 2 CPC),</w:t>
      </w:r>
    </w:p>
    <w:p>
      <w:r>
        <w:t>- 3 - que l’art. 7 OCEI-PCPP (ordonnance sur la communication électronique dans le cadre de procédures civiles et pénales et de procédures en matière de poursuite pour dettes et de faillite du 18 juin 2010 ; RS 272.1) précise qu’est une signature électronique valable, une signature électronique qualifiée basée sur un certificat qualifié qui émane d’un fournisseur reconnu, qu’en l’espèce, le courriel du 28 janvier 2016 n’est pas muni d’une signature électronique valable au sens des art. 130 al. 2 CPC et 7 OCEI-PCPP, de sorte qu’il n’est pas possible de vérifier s’il exprime bien la volonté de la poursuivante, que ce courriel ne constitue dès lors pas un acte de procédure valable, qu’il n’est pas nécessaire d’impartir à la recourante un délai pour produire un acte signé, dès lors que le recours doit être déclaré irrecevable pour le motif qui suit ; attendu que la partie qui entend user d'une voie de droit a la charge de se conformer à certaines règles de forme, à défaut de quoi sa démarche sera frappée d'irrecevabilité (Jeandin, Code de procédure civile commenté,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le courriel du 28 janvier 2016 ne contient aucun grief, motif ou moyen de recours contre le prononcé attaqué, que l’acte de recours, faute d'être motivé, ne satisfait pas aux exigences de forme posées par la loi et la jurisprudence, et doit par conséquent être déclaré irrecevable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Z.________ GmbH, - M. Jean-Daniel Nicaty, agent d’affaires breveté, (pour I.________ SA). La Cour des poursuites et faillites considère que la valeur litigieuse est de 3’093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