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KC15.037505 vom 14. Dezember 2015</w:t>
      </w:r>
    </w:p>
    <w:p>
      <w:r>
        <w:t>VD Tribunal cantonal, 2015-12-14, FR</w:t>
      </w:r>
    </w:p>
    <w:p>
      <w:r>
        <w:rPr>
          <w:b/>
        </w:rPr>
        <w:t xml:space="preserve">Quelle: </w:t>
      </w:r>
      <w:r>
        <w:t>https://mcp.opencaselaw.ch/entscheid/vd_gerichte_KC15.037505</w:t>
      </w:r>
    </w:p>
    <w:p>
      <w:r>
        <w:t>FR: VD_GERICHTE KC15.037505 du 14 décembre 2015</w:t>
      </w:r>
    </w:p>
    <w:p>
      <w:r>
        <w:t>IT: VD_GERICHTE KC15.037505 del 14 dicembre 2015</w:t>
      </w:r>
    </w:p>
    <w:p>
      <w:pPr>
        <w:pStyle w:val="Heading2"/>
      </w:pPr>
      <w:r>
        <w:t>Volltext</w:t>
      </w:r>
    </w:p>
    <w:p>
      <w:r>
        <w:t>TRIBUNAL CANTONAL KC15.037505-152050 338 CO UR DE S P OURSUITES ET FAILL ITES ________________________________________________ Arrêt du 14 décembre 2015 ______________________ Composition :Mme ROULEAU, présidente Mme Byrde et M. Maillard, juges Greffier : M. Elsig ***** Art. 321 al. 1 CPC Vu le prononcé rendu le 8 octobre 2015, à la suite de l’audience du 29 septembre 2015, par la Juge de paix du district d’Aigle, prononçant la mainlevée provisoire de l’opposition formée par F.________, à [...], à la poursuite n° 7'581'153 de l’Office des poursuites du district d’Aigle exercée contre lui à l’instance de R.________, vu le recours non motivé déposé le 19 octobre 2015 par le poursuivi contre ce prononcé, 111</w:t>
      </w:r>
    </w:p>
    <w:p>
      <w:r>
        <w:t>- 2 - vu le prononcé motivé adressé aux parties pour notification le 6 novembre 2015 et non retiré par le poursuivi à l’échéance du délai de garde postal,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 le prononcé a été envoyé sous forme de dispositif le 8 octobre 2015 pour notification, que recours exercé le 19 octobre 2015, l’a été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w:t>
      </w:r>
    </w:p>
    <w:p>
      <w:r>
        <w:t>- 3 - qu'il faut toutefois que la motivation du recours permette de comprendre ce que le recourant veut obtenir, faute de quoi l'intérêt au recours n'est pas démontré (CPF, 9 décembre 2014/404 ; CPF, 20 mars 2014/100 ; CPF, 7 février 2012/33 ; CPF, 30 décembre 2011/548), que l'instance de recours doit ainsi pouvoir comprendre ce qui est reproché au premier juge sans avoir à rechercher des griefs par elle- même, ce qui exige une certaine précision quant à l'énoncé et à la discussion des griefs (CREC, 11 mai 2012/173), qu’en l’espèce le poursuivi n'a formulé aucun grief, motif ou moyen de recours reconnaissable contre le prononcé levant provisoirement son opposition dans son écriture du 19 octobre 2015, qu'il n'a pas déposé d'autre acte après l’envoi des motifs de la décision, qui sont réputés lui avoir été notifiés le 16 novembre 2015, échéance du délai de garde, conformément à la fiction légale de l’art. 138 al. 3 let. a CPC,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w:t>
      </w:r>
    </w:p>
    <w:p>
      <w:r>
        <w:t>- 4 - n'est pas applicable non plus en cas d'absence de motivation d'un acte de recours (ibidem), que l'acte du 19 octobre 2015, faute d'être motivé, ne satisfait pas aux exigences de forme posées par la loi et doit par conséquent être déclaré irrecevable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Le greffier : Du L'arrêt qui précède, dont la rédaction a été approuvée à huis clos, est notifié, par l'envoi de photocopies, à : - M. F.________, - M. Philippe Chiocchetti, agent d’affaires breveté, (pour R.________).</w:t>
      </w:r>
    </w:p>
    <w:p>
      <w:r>
        <w:t>- 5 - La Cour des poursuites et faillites considère que la valeur litigieuse est de 2’400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