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KC15.027998 vom 26. Januar 2016</w:t>
      </w:r>
    </w:p>
    <w:p>
      <w:r>
        <w:t>VD Tribunal cantonal, 2016-01-26, FR</w:t>
      </w:r>
    </w:p>
    <w:p>
      <w:r>
        <w:rPr>
          <w:b/>
        </w:rPr>
        <w:t xml:space="preserve">Quelle: </w:t>
      </w:r>
      <w:r>
        <w:t>https://mcp.opencaselaw.ch/entscheid/vd_gerichte_KC15.027998</w:t>
      </w:r>
    </w:p>
    <w:p>
      <w:r>
        <w:t>FR: VD_GERICHTE KC15.027998 du 26 janvier 2016</w:t>
      </w:r>
    </w:p>
    <w:p>
      <w:r>
        <w:t>IT: VD_GERICHTE KC15.027998 del 26 gennaio 2016</w:t>
      </w:r>
    </w:p>
    <w:p>
      <w:pPr>
        <w:pStyle w:val="Heading2"/>
      </w:pPr>
      <w:r>
        <w:t>Volltext</w:t>
      </w:r>
    </w:p>
    <w:p>
      <w:r>
        <w:t>TRIBUNAL CANTONAL KC15.027998-160122 31 CO UR DE S P OURSUITES ET FAILL ITES ________________________________________________ Arrêt du 26 janvier 2016 ____________________ Composition :Mme ROULEAU, présidente Mmes Carlsson et Byrde, juges Greffier : Mme Debétaz Ponnaz ***** Art. 321 al. 1 CPC Vu le prononcé rendu le 7 octobre 2015, à la suite de l’interpellation de la partie poursuivie, par le Juge de paix des districts du Jura-Nord vaudois et du Gros-de-Vaud, prononçant la mainlevée définitive, à concurrence de 7'646 fr. 40, plus intérêt au taux de 5 % l’an dès le 24 février 2015, et de 99 fr. 85, sans intérêt, de l’opposition formée par T.________, à [...], à la poursuite n° 7’480'607 de l’Office des poursuites du district du Gros-de-Vaud exercée contre elle à l’instance de la CAISSE X.________, à [...], arrêtant à 180 fr. les frais judiciaires, compensés avec l’avance de frais de la poursuivante, les mettant à la charge de la poursuivie et disant que cette dernière doit en conséquence rembourser à 111</w:t>
      </w:r>
    </w:p>
    <w:p>
      <w:r>
        <w:t>- 2 - la poursuivante son avance de frais, à concurrence de 180 fr., sans allocation de dépens pour le surplus, vu la demande de motivation déposée par la poursuivie le 15 octobre 2015, soit en temps utile, vu le prononcé motivé adressé aux parties le 8 et notifié à la poursuivie le 13 janvier 2016, vu le recours formé par la poursuivie par acte du 21 janvier 2016, requérant l’effet suspensif et concluant, avec suite de frais et dépens, principalement, à la réforme du prononcé attaqué en ce sens que l’opposition à la poursuite en cause est levée à concurrence du montant « admis » de 6'178 fr. et maintenue à concurrence du montant « contesté » de 1’637 fr. 85 (sic), subsidiairement, à l’annulation du prononcé et au renvoi de la cause au premier juge pour nouvelles instruction et décision dans le sens des considérants, la poursuivie annonçant pour le surplus qu’elle « développera ses moyens beaucoup plus amplement à l’appui du mémoire qu’[elle] produira dans le délai qui lui sera imparti »,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exercé le 21 janvier 2016 l’a été en temps utile ; attendu que la partie qui entend user d'une voie de droit a la charge de se conformer à certaines règles de forme, à défaut de quoi sa</w:t>
      </w:r>
    </w:p>
    <w:p>
      <w:r>
        <w:t>- 3 - démarche sera frappée d'irrecevabilité (Jeandin, in Bohnet et al.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le délai de recours étant un délai légal non prolongeable, que ni l’art. 132 al. 1 et 2 ni l’art. 56 CPC ne sont applicables en cas d’absence de motivation d’un acte de recours (ibid.), qu’en l’espèce, T.________ n’a formulé dans son acte du 21 janvier 2016 aucun grief, motif ou moyen de recours reconnaissable contre le prononcé du juge de paix,</w:t>
      </w:r>
    </w:p>
    <w:p>
      <w:r>
        <w:t>- 4 - qu’il ne peut lui être accordé un délai supplémentaire pour déposer un mémoire ampliatif, que son acte de recours, faute d'être motivé, ne satisfait pas aux exigences de forme posées par la loi et la jurisprudence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Mme T.________, - Caisse X.________.</w:t>
      </w:r>
    </w:p>
    <w:p>
      <w:r>
        <w:t>- 5 - La Cour des poursuites et faillites considère que la valeur litigieuse est de 1’568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