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KC15.027958 vom 11. September 2015</w:t>
      </w:r>
    </w:p>
    <w:p>
      <w:r>
        <w:t>VD Tribunal cantonal, 2015-09-11, FR</w:t>
      </w:r>
    </w:p>
    <w:p>
      <w:r>
        <w:rPr>
          <w:b/>
        </w:rPr>
        <w:t xml:space="preserve">Quelle: </w:t>
      </w:r>
      <w:r>
        <w:t>https://mcp.opencaselaw.ch/entscheid/vd_gerichte_KC15.027958</w:t>
      </w:r>
    </w:p>
    <w:p>
      <w:r>
        <w:t>FR: VD_GERICHTE KC15.027958 du 11 septembre 2015</w:t>
      </w:r>
    </w:p>
    <w:p>
      <w:r>
        <w:t>IT: VD_GERICHTE KC15.027958 del 11 settembre 2015</w:t>
      </w:r>
    </w:p>
    <w:p>
      <w:pPr>
        <w:pStyle w:val="Heading2"/>
      </w:pPr>
      <w:r>
        <w:t>Volltext</w:t>
      </w:r>
    </w:p>
    <w:p>
      <w:r>
        <w:t>TRIBUNAL CANTONAL KC15.027958-151479 257 CO UR DE S P OURSUITES ET FAILL ITES ________________________________________________ Arrêt du 11 septembre 2015 ______________________ Composition :Mme ROULEAU, présidente Mmes Carlsson et Byrde, juges Greffier : M. Pfeiffer ***** Art. 321 al. 1 et 2, 326 CPC Vu le prononcé rendu le 28 août 2015 par la Juge de paix du district d’Aigle, prononçant la mainlevée définitive, à concurrence de 10'578 fr. 55, avec intérêts à 5% l’an dès le 24 janvier 2012, de l’opposition formée par G.________, à Aigle, à la poursuite n° 7’479'011 de l’Office des poursuites du district d’Aigle exercée contre lui à l’instance de la N.________, à Lausanne, vu la demande de motivation déposée par le poursuivi le 28 août 2015, 111</w:t>
      </w:r>
    </w:p>
    <w:p>
      <w:r>
        <w:t>- 2 - vu le prononcé motivé adressé pour notification aux parties le 28 août 2015 et notifié au poursuivi le 31 août 2015, vu le recours daté du 4 septembre 2015, remis au guichet de la Justice de paix du district d’Aigle le 7 septembre 2015, vu la transmission du dossier par la juge de paix à la cour de céans, autorité de recours, le 8 septembre 2015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 Tappy, Les voies de droit du nouveau Code de procédure civile, in JT 2010 III 115, spéc. p. 131), qu’en l’espèce, le recours, déposé auprès de la Juge de paix du district d’Aigle le 7 septembre 2015, l’a été en temps utile ; attendu qu’à l’appui de son recours, le poursuivi produit un lot de pièces nouvelles, que ces pièces sont irrecevables (art. 326 al. 1 CPC), l'autorité de recours en matière de mainlevée d'opposition devant statuer sur la base du dossier tel qu'il a été constitué en première instance ; attendu que par ailleurs la partie qui entend user d'une voie de droit a la charge de se conformer à certaines règles de forme, à défaut de</w:t>
      </w:r>
    </w:p>
    <w:p>
      <w:r>
        <w:t>- 3 - quoi sa démarche sera frappée d'irrecevabilité (Jeandin, in Bohnet/Haldy/Jeandin/Schweizer/Tappy (édit.),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11 septembre 2015/256 ; CPF, 21 mai 2015/148 ; CPF, 9 décembre 2014/404 ; CPF, 20 mars 2014/100), qu’en l'espèce, à l’appui de son recours, le poursuivi se limite à exposer que le premier juge a rendu un prononcé motivé le jour du dépôt de la demande de motivation et que cela démontrerait qu’il n’a pas examiné son argumentation, que le juge statue sur la base des éléments recueillis au jour où il rend sa décision, les éléments ultérieurs étant irrecevables, que le recourant n’émet ainsi aucun grief ni moyen reconnaissable à l’encontre du prononcé attaqué pouvant conduire à l’annulation ou à la réforme de celui-ci, que l'absence de motivation du recours est un vice qui n'est pas réparable (CPF, 11 septembre 2015/256 ; cf. par analogie : TF 5P.429/2006 du 11décembre 2006), qu'ainsi l'art. 132 CPC, selon lequel le tribunal peut fixer un délai pour la rectification de certains vices affectant un acte, ne s'applique pas dans le cas d'un acte de recours dépourvu de motivation,</w:t>
      </w:r>
    </w:p>
    <w:p>
      <w:r>
        <w:t>- 4 - qu'en effet, l'absence de motivation ne constitue pas un vice purement formel visé par l'art. 132 al. 1 CPC, tel que l'absence de signature ou de procuration, et n'est pas non plus assimilable à une motivation incompréhensible au sens de l'art. 132 al. 2 CPC (CPF, 20 mars 2014/100 ; CPF, 30 décembre 2011/548),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faute d'être motivé, l'acte du 4 septembre 2015 ne satisfait pas aux exigences de forme posées par la loi, qu'il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w:t>
      </w:r>
    </w:p>
    <w:p>
      <w:r>
        <w:t>- 5 - II. L’arrêt, rendu sans frais judiciaires ni dépens, est exécutoire. La présidente : Le greffier : Du L'arrêt qui précède, dont la rédaction a été approuvée à huis clos, est notifié, par l'envoi de photocopies, à : - M. G.________, - La N.________. La Cour des poursuites et faillites considère que la valeur litigieuse est de 10'578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Madame la Juge de paix du district d’Aigle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