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KC15.012750 vom 18. September 2015</w:t>
      </w:r>
    </w:p>
    <w:p>
      <w:r>
        <w:t>VD Tribunal cantonal, 2015-09-18, FR</w:t>
      </w:r>
    </w:p>
    <w:p>
      <w:r>
        <w:rPr>
          <w:b/>
        </w:rPr>
        <w:t xml:space="preserve">Quelle: </w:t>
      </w:r>
      <w:r>
        <w:t>https://mcp.opencaselaw.ch/entscheid/vd_gerichte_KC15.012750</w:t>
      </w:r>
    </w:p>
    <w:p>
      <w:r>
        <w:t>FR: VD_GERICHTE KC15.012750 du 18 septembre 2015</w:t>
      </w:r>
    </w:p>
    <w:p>
      <w:r>
        <w:t>IT: VD_GERICHTE KC15.012750 del 18 settembre 2015</w:t>
      </w:r>
    </w:p>
    <w:p>
      <w:pPr>
        <w:pStyle w:val="Heading2"/>
      </w:pPr>
      <w:r>
        <w:t>Volltext</w:t>
      </w:r>
    </w:p>
    <w:p>
      <w:r>
        <w:t>TRIBUNAL CANTONAL KC15.012750-151534 265 CO UR DE S P OURSUITES ET FAILL ITES ________________________________________________ Arrêt du 18 septembre 2015 _______________________ Composition :Mme ROULEAU, présidente Mmes Carlsson et Byrde, juges Greffier : Mme Debétaz Ponnaz ***** Art. 321 al. 2 CPC Vu le prononcé rendu le 11 juin 2015 par le Juge de paix du district de Lavaux-Oron, à la suite de l'audience du 4 juin 2015 tenue par défaut de la partie poursuivie, rejetant la requête de mainlevée d'opposition déposée par W.________, à Morges, dans la poursuite n° 7'357'278 de l'Office des poursuites du district de Lavaux-Oron exercée à son instance contre B.________, à Servion (I), arrêtant à 120 fr. les frais judiciaires, compensés avec l'avance de frais de la poursuivante (II), les mettant à la charge de celle-ci (III) et n'allouant pas de dépens (IV), vu la demande de motivation formulée par la poursuivante par lettre du 14 juin 2015, 111</w:t>
      </w:r>
    </w:p>
    <w:p>
      <w:r>
        <w:t>- 2 - vu les motifs du prononcé adressés aux parties le 13 août 2015 et notifiés à la poursuivante, selon le relevé d'acheminement du courrier postal "easytrack" figurant au dossier, le 15 août 2015, vu la lettre de la poursuivante au juge de paix du 15 août 2015, accusant réception "ce jour de votre courrier recommandé me faisant part de votre "motivation mainlevée d'opposition"" et disant transmettre ce dossier à son assurance de protection juridique, vu le recours contre le prononcé précité formé le 15 septembre 2015 par la poursuivante, alléguant avoir reçu la motivation le 12 septembre 2015, vu l'enveloppe jointe au recours, censée avoir contenu la motivation, portant le timbre postal du 9 septembre 2015; attendu qu'en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il est établi que le prononcé motivé a été notifié à W.________ le 15 août et non, comme elle l'allègue, le 12 septembre 2015, que la poursuivante a d'ailleurs accusé réception de la décision motivée par lettre du 15 août 2015 adressée au juge de paix, que l'enveloppe jointe à son recours n'est pas celle qui contenait les motifs du prononcé, mais celle qui contenait le décompte de</w:t>
      </w:r>
    </w:p>
    <w:p>
      <w:r>
        <w:t>- 3 - frais que le greffe du juge de paix lui a adressé le 9 septembre 2015, dont une copie figure au dossier, que le délai dont disposait W.________ pour recourir contre le prononcé motivé arrivait donc à échéance le 25 août 2015, que son recours posté le 15 septembre 2015 est par conséquent tardif et doit être déclaré, pour ce motif,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w:t>
      </w:r>
    </w:p>
    <w:p>
      <w:r>
        <w:t>- 4 - - Mme W.________, - M. B.________. La Cour des poursuites et faillites considère que la valeur litigieuse est de 670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