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KC14.048089 vom 19. Juni 2015</w:t>
      </w:r>
    </w:p>
    <w:p>
      <w:r>
        <w:t>VD Tribunal cantonal, 2015-06-19, FR</w:t>
      </w:r>
    </w:p>
    <w:p>
      <w:r>
        <w:rPr>
          <w:b/>
        </w:rPr>
        <w:t xml:space="preserve">Quelle: </w:t>
      </w:r>
      <w:r>
        <w:t>https://mcp.opencaselaw.ch/entscheid/vd_gerichte_KC14.048089</w:t>
      </w:r>
    </w:p>
    <w:p>
      <w:r>
        <w:t>FR: VD_GERICHTE KC14.048089 du 19 juin 2015</w:t>
      </w:r>
    </w:p>
    <w:p>
      <w:r>
        <w:t>IT: VD_GERICHTE KC14.048089 del 19 giugno 2015</w:t>
      </w:r>
    </w:p>
    <w:p>
      <w:pPr>
        <w:pStyle w:val="Heading2"/>
      </w:pPr>
      <w:r>
        <w:t>Volltext</w:t>
      </w:r>
    </w:p>
    <w:p>
      <w:r>
        <w:t>TRIBUNAL CANTONAL KC14.048089-150968 170 CO UR DE S P OURSUITES ET FAILL ITES ________________________________________________ Arrêt du 19 juin 2015 __________________ Composition :Mme ROULEAU, présidente Mme Byrde et M. Maillard, juges Greffière : Mme Berger ***** Art. 321 al. 1 CPC Vu le prononcé rendu le 10 février 2015 à la suite de l'audience du 26 janvier 2015 par le Juge de paix des districts du Jura-Nord vaudois et du Gros-de-Vaud, rejetant la requête de mainlevée d'opposition déposée par R.________, à Gland, dans la poursuite n° 7'204'551 de l'Office des poursuites du district du Gros-de-Vaud contre Y.________SA, à Vuarrens, arrêtant à 660 fr. les frais judiciaires, compensés avec l'avance de frais de la partie poursuivante, les mettant à la charge de celle-ci, sans allocation de dépens, 111</w:t>
      </w:r>
    </w:p>
    <w:p>
      <w:r>
        <w:t>- 2 - vu la notification au poursuivant de ce prononcé sous pli recommandé le 11 février 2015, vu le courrier du 23 février 2015 adressé par le poursuivant au Juge de paix, par lequel il a déclaré s'opposer audit prononcé, vu les motifs du prononcé du 10 février 2015, notifiés au poursuivant le 5 juin 2015, vu le recours formé par R.________ le 12 juin 2015, vu les pièces annexées à son courrier;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l'espèce, l’acte de recours du 23 février 2015, dirigé contre la décision du 10 février que l’intéressé a reçue le 11 février 2015, a été déposé en temps utile, dès lors que le délai de dix jours dont disposait le poursuivant pour requérir la motivation de ce prononcé, arrivé à échéance le samedi 21 février, a été reporté au premier jour ouvrable suivant (art. 142 al. 3 CPC), soit au 23 février 2015,</w:t>
      </w:r>
    </w:p>
    <w:p>
      <w:r>
        <w:t>- 3 - que le recours déposé par le poursuivant le 12 juin 2015 contre le prononcé motivé qui a été notifié le 5 juin 2015 a également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2013/33; CPF, 30 décembre 2011/548), que l'instance de recours doit ainsi pouvoir comprendre ce qui est reproché au premier juge sans avoir à rechercher des griefs par elle- même, ce qui exige une certaine précision quant à l'énoncé et à la discussion des griefs (CREC, 11 mai 2012/173), qu'en l'espèce, dans son écriture du 23 février 2015, le poursuivant n'a fait valoir aucun moyen à l'encontre des motifs de la décision attaquée, que dans son acte du 12 juin 2015, le recourant, bien qu'ayant déclaré faire recours à l'encontre de la décision rejetant sa requête de mainlevée, a pris des conclusions sollicitant une tentative de conciliation, et en cas d'échec, la délivrance d'une autorisation de procéder afin de</w:t>
      </w:r>
    </w:p>
    <w:p>
      <w:r>
        <w:t>- 4 - pouvoir prendre contre la poursuivie et son administrateur une conclusion en paiement de 194'000 fr., que cet acte est ainsi en réalité une demande au fond, qu'il ne contient en effet aucun grief, motif ou moyen de recours reconnaissable contre la décision rejetant sa requête de mainlevée,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qu'en définitive, les actes des 23 février et 12 juin 2015 mai 2015, faute d'être motivés, ne satisfont pas aux exigences de forme posées par la loi, que le recours doit par conséquent être déclaré irrecevable;</w:t>
      </w:r>
    </w:p>
    <w:p>
      <w:r>
        <w:t>- 5 -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R.________, - Y.________SA. La Cour des poursuites et faillites considère que la valeur litigieuse est de 158'000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