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KC14.033111 vom 13. Februar 2015</w:t>
      </w:r>
    </w:p>
    <w:p>
      <w:r>
        <w:t>VD Tribunal cantonal, 2015-02-13, FR</w:t>
      </w:r>
    </w:p>
    <w:p>
      <w:r>
        <w:rPr>
          <w:b/>
        </w:rPr>
        <w:t xml:space="preserve">Quelle: </w:t>
      </w:r>
      <w:r>
        <w:t>https://mcp.opencaselaw.ch/entscheid/vd_gerichte_KC14.033111</w:t>
      </w:r>
    </w:p>
    <w:p>
      <w:r>
        <w:t>FR: VD_GERICHTE KC14.033111 du 13 février 2015</w:t>
      </w:r>
    </w:p>
    <w:p>
      <w:r>
        <w:t>IT: VD_GERICHTE KC14.033111 del 13 febbraio 2015</w:t>
      </w:r>
    </w:p>
    <w:p>
      <w:pPr>
        <w:pStyle w:val="Heading2"/>
      </w:pPr>
      <w:r>
        <w:t>Volltext</w:t>
      </w:r>
    </w:p>
    <w:p>
      <w:r>
        <w:t>TRIBUNAL CANTONAL KC14.033111-142251 32 CO UR DE S P OURSUITES ET FAILL ITES ________________________________________________ Arrêt du 13 février 2015 ___________________ Composition :Mme ROULEAU, présidente Mmes Carlsson et Byrde, juges Greffier : M. Elsig ***** Art. 321 al. 1 CPC Vu le prononcé rendu le 17 octobre 2014, à la suite de l’interpellation du poursuivi, par la Juge de paix du district de la Broye- Vully prononçant la mainlevée définitive, à concurrence de 10'707 fr. 65 avec intérêt à 3 % l’an dès le 24 décembre 2014, de 77 fr. 30 sans intérêt et de 53 fr. 90 sans intérêt, de l’opposition formée par Q.________, à [...], à la poursuite n° 7'073'775 de l’Office des poursuites du district de la Broye- Vully exercée contre lui à l’instance de l’ETAT DE VAUD, représenté par l’Office d’impôt du district de la Broye-Vully, à Payerne, vu la demande de motivation déposée par le poursuivi le 23 octobre 2014, 111</w:t>
      </w:r>
    </w:p>
    <w:p>
      <w:r>
        <w:t>- 2 - vu le prononcé motivé adressé pour notification aux parties le 5 décembre 2014 et notifié au poursuivi le 10 décembre 2014, vu le recours déposé le 22 décembre 2014 par le poursuivi requérant un effet suspensif ou un arrangement avec l’office d’impôt de façon à être « moins serré financièrement », vu la décision du Président de la Cour des poursuites et faillites du Tribunal cantonal du 23 décembre 2014 accordant l’effet suspensif au recours, vu les autres pièces du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30 décembre 2011/548 ; CPF 7 février 2012/33 ; CPF 20 mars 2014/100), que l’instance de recours doit ainsi pouvoir comprendre ce qui est reproché au premier juge sans avoir à rechercher des griefs par elle- même, ce qui exige une certaine précision quant à l’énoncé et à la discussion des griefs (CREC 11 mai 2012/173 ; CPF 20 novembre 2014/390), attendu qu’en l’espèce le recourant expose sa situation personnelle et financière mais n’émet aucun grief ni moyen reconnaissable à l’encontre du prononcé attaqué pouvant conduire à l’annulation ou à la réforme de celui-ci,</w:t>
      </w:r>
    </w:p>
    <w:p>
      <w:r>
        <w:t>- 3 - que ce vice équivaut en conséquence à une absence de motivation ; attendu que l’absence de motivation est un vice qui n’est pas réparable (cf. par analogie : TF 5 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une motivation incompréhensible au sens de l’art. 132 al. 2 CPC (CPF 2011/548 et 2014/100 précités), que le recours déposé le 22 décembre 2014 doit en conséquence être déclaré irrecevable, faute de motivation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w:t>
      </w:r>
    </w:p>
    <w:p>
      <w:r>
        <w:t>- 4 - Du L'arrêt qui précède, dont la rédaction a été approuvée à huis clos, est notifié, par l'envoi de photocopies, à : - M. Q.________, - Office d’impôt du district de la Broye-Vully (pour Etat de Vaud). La Cour des poursuites et faillites considère que la valeur litigieuse est de 10’838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w:t>
      </w:r>
    </w:p>
    <w:p>
      <w:r>
        <w:t>- 5 -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