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KC14.016072 vom 13. Januar 2015</w:t>
      </w:r>
    </w:p>
    <w:p>
      <w:r>
        <w:t>VD Tribunal cantonal, 2015-01-13, FR</w:t>
      </w:r>
    </w:p>
    <w:p>
      <w:r>
        <w:rPr>
          <w:b/>
        </w:rPr>
        <w:t xml:space="preserve">Quelle: </w:t>
      </w:r>
      <w:r>
        <w:t>https://mcp.opencaselaw.ch/entscheid/vd_gerichte_KC14.016072</w:t>
      </w:r>
    </w:p>
    <w:p>
      <w:r>
        <w:t>FR: VD_GERICHTE KC14.016072 du 13 janvier 2015</w:t>
      </w:r>
    </w:p>
    <w:p>
      <w:r>
        <w:t>IT: VD_GERICHTE KC14.016072 del 13 gennaio 2015</w:t>
      </w:r>
    </w:p>
    <w:p>
      <w:pPr>
        <w:pStyle w:val="Heading2"/>
      </w:pPr>
      <w:r>
        <w:t>Erwägungen</w:t>
      </w:r>
    </w:p>
    <w:p>
      <w:r>
        <w:rPr>
          <w:b/>
        </w:rPr>
        <w:t>E. 3</w:t>
      </w:r>
    </w:p>
    <w:p>
      <w:r>
        <w:t>Par acte du 28 octobre 2014, la poursuivante a recouru contre ce prononcé, concluant à sa réforme en ce sens que la mainlevée de l'opposition est prononcée à concurrence de 3’600 fr., plus intérêt à 5 %</w:t>
      </w:r>
    </w:p>
    <w:p>
      <w:r>
        <w:t>- 5 - l'an dès le 19 mars 2014, ainsi que pour les frais de poursuite, et que les frais des première et deuxième instances sont mis à la charge du poursuivi. A l'appui de son recours, elle a produit les documents figurant déjà au dossier de première instance ainsi que quatre pièces nouvelles, notamment un jugement rendu dans le canton de Fribourg et un autre dans le canton du Valais. L'intimé ne s'est pas déterminé dans le délai imparti à cet effet. En d roit : I. Le recours, écrit et motivé, a été déposé dans les formes requises (art. 321 al. 1 CPC [Code de procédure civile; RS 272]) et en temps utile, dans les dix jours suivant la notification des motifs du prononcé attaqué (art. 321 al. 2 CPC). Il est ainsi recevable. Les pièces nouvelles produites à l'appui du recours sont en revanche irrecevables (art. 326 al. 1 CPC). La cour de céans ne saurait par ailleurs tenir compte comme de faits notoires des décisions rendues dans d'autres cantons, dès lors que, n'étant pas publiées, elles ne sont pas aisément accessibles à chacun (ATF 135 III 88). II. a) La première question que soulève le dossier est celle d'une éventuelle violation du droit d'être entendu du poursuivi. En effet, le pli recommandé adressé à ce dernier, contenant la requête de mainlevée et le citant à l’audience du 17 juin 2014, est revenu au greffe du juge de paix avec la mention "non réclamé" et il ne ressort pas du dossier que ce pli aurait été à nouveau notifié à son destinataire, par exemple par huissier.</w:t>
      </w:r>
    </w:p>
    <w:p>
      <w:r>
        <w:t>- 6 - b) Depuis l'entrée en vigueur du CPC, le 1er janvier 2011, la procédure de mainlevée est régie par la procédure sommaire des art. 248 ss CPC (art. 251 let. a CPC; Staehelin, in Staehelin/Bauer/ Staehelin (éd.), Basler Kommentar, Bundesgesetz über Schuldbetreibung und Konkurs, vol. I, 2e éd. 2010, n. 2a ad art. 84 SchKG [LP :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w:t>
      </w:r>
    </w:p>
    <w:p>
      <w:r>
        <w:t>- 7 - commandement de payer n’est pas censé se tenir prêt à tout moment à recevoir une requête de mainlevée, car il s’agit d’une nouvelle procédure (ATF 138 III 225 c. 3.1;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2013/356; CPF, 8 août 2013/312; CPF, 11 juillet 2012/270; CPF, 4 juillet 2012/258; CPF, 16 mai 2012/214; CPF, 1er février 2012/13). La cour de céans en avait jugé pareillement sous l’empire de l’ancien droit de procédure (CPF, 8 septembre 2011/375; CPF, 7 février 2011/37; CPF, 9 décembre 2010/470; CPF, 29 avril 2010/190 et les réf. cit.). c) En l’espèce, conformément à la jurisprudence susmentionnée, la fiction de la notification à l'échéance du délai de garde postal ne s'applique pas et, par conséquent, la requête de mainlevée n’a pas été valablement notifiée au poursuivi. Celui-ci n’a de ce fait pas eu la possibilité de prendre connaissance de la requête ni de se déterminer à son sujet en faisant valoir ses moyens et en produisant toutes pièces utiles. Son droit d’être entendu a ainsi été violé. d) Le droit d’être entendu étant de nature formelle, sa violation justifie en principe l’annulation de la décision entreprise, sans qu’il soit nécessaire d’examiner si son respect aurait conduit à une décision différente (Haldy, op. cit., n. 19 ad art. 53 CPC), et même si ce moyen n’a pas été soulevé (art. 327 al. 3 let. a CPC; CPF, 10 avril 2014/145). La jurisprudence a atténué la rigueur de ce principe en admettant que le vice peut être réparé lorsque l’autorité de recours dispose du même pouvoir d’examen que l’autorité de première instance (Haldy, op. cit., n. 20 ad art. 53 CPC). Ce qui importe, c’est que la</w:t>
      </w:r>
    </w:p>
    <w:p>
      <w:r>
        <w:t>- 8 - notification irrégulière ne doit entraîner aucun préjudice pour les parties (CPF, 4 juillet 2012/258; CPF, 25 novembre 2010/450). Dans une affaire quasiment identique à la présente cause (violation du droit d’être entendu de la partie poursuivie en raison de l’absence de notification valable, rejet de la requête de mainlevée et recours de la partie poursuivante), la cour de céans a récemment considéré que le prononcé devait être annulé, la cause n’étant pas en état d’être jugée au sens de l’art. 327 al. 3 let. b CPC; toutefois, à lire les recommandations émises à l’attention du premier juge dans cet arrêt, on comprend qu’indépendamment de la question de la violation du droit d’être entendu, la cour a considéré que le raisonnement du premier juge était erroné sur la question de la mainlevée et que, par conséquent, le recours ne pouvait pas être rejeté sur le fond (CPF, 21 novembre 2014/391). Dans un arrêt ultérieur, la cour a en revanche considéré que, dans les cas où elle arrive à la conclusion que le recours doit être rejeté, l’annulation ne s’impose pas; dans cette hypothèse, en effet,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(CPF, 30 décembre 2014/420). Il convient dès lors d’examiner la question de la mainlevée d'opposition. III. a) Aux termes de l'art. 82 al. 1 LP, le créancier au bénéfice d'une reconnaissance de dette peut requérir du juge la mainlevée provisoire de l'opposition. Constitue une reconnaissance de dette au sens de cette disposition notamment l'acte sous seing privé, signé par le poursuivi ou son représentant, d'où ressort sa volonté de payer au poursuivant, sans réserve ni condition, une somme d'argent déterminée, ou aisément</w:t>
      </w:r>
    </w:p>
    <w:p>
      <w:r>
        <w:t>- 9 - déterminable, et échue (ATF 139 III 297 c. 2.3.1; 136 III 624 c. 4.2.2; 136 III 627 c.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 et la faillite, n. 40 ad art. 82 LP; Schmidt, Commentaire romand, Poursuite et faillite, n. 23 ad art. 82 LP). En outre, le titre produit pour valoir reconnaissance de dette et titre de mainlevée provisoire de l'opposition ne justifie dite mainlevée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Une reconnaissance de dette peut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 2.3.1; 136 III 627 c. 2 et 3.3; 132 III 480 c. 4.1 et les références citées). Une référence ne peut cependant être concrète que si le contenu des documents auxquels il est renvoyé est connu du déclarant et visé par la manifestation de volonté signée (ATF 139 III 297 c. 2.3.1; 136 III 627 c. 3.3; 132 III 480 c. 4.3; 106 III 97 c. 4). En d'autres termes, cela signifie que le montant de la dette doit être fixé ou aisément déterminable dans les pièces auxquelles renvoie le document signé, et ce au moment de la signature de ce dernier (cf. Stücheli, Die Rechtsöffnung, Zürcher Studien zum Verfahrensrecht 119, Zurich 2000, p. 191; Staehelin, op. cit., n. 26 ad art. 82 LP).</w:t>
      </w:r>
    </w:p>
    <w:p>
      <w:r>
        <w:t>- 10 - b) En l'espèce, la recourante soutient que le document signé le 18 janvier 2013 vaut titre de mainlevée provisoire. La Cour des poursuites et faillites s’est déjà penchée sur la portée du "protocole de conseil" utilisé par la recourante dans un arrêt du</w:t>
      </w:r>
    </w:p>
    <w:p>
      <w:r>
        <w:rPr>
          <w:b/>
        </w:rPr>
        <w:t>E. 8</w:t>
      </w:r>
    </w:p>
    <w:p>
      <w:r>
        <w:t>août 2014 (CPF, 8 août 2014/288). Dans ce cadre, elle a relevé que ce document mentionnait uniquement que la recourante se réservait le droit de facturer au client un montant représentant une année et demie de prime annuelle si l'arrêt, la libération des primes ou la réduction d'un des produits intervenait dans les trois ans à partir de la date de signature du protocole. Le texte ne précisait en revanche pas que le signataire reconnaissait d'ores et déjà devoir ce montant si l'une ou l'autre des hypothèses envisagées venait à se réaliser. Par ailleurs, le simple fait de signer un document mentionnant que la recourante se réservait le droit de faire valoir ultérieurement une prétention, sous la forme d'une facture, n'impliquait pas encore que le signataire acceptait par avance de l'honorer. La cour en a conclu que la formulation du protocole permettait de considérer non pas que le signataire prenait l’engagement de payer à la recourante l'équivalent d'une année et demie de prime annuelle dans l'une ou l'autre des hypothèses envisagées, mais uniquement que la recourante se réservait le droit de le lui demander, ce qui n'était pas la même chose. Bien que le texte du "protocole de conseil" invoqué dans la présente cause diffère légèrement, la recourante se réservant "le droit de facturer au client un montant représentant une année et demie de prime annuelle si la résiliation intervient dans les trois ans à partir de la date d'entrée en vigueur de la police concernée", il n'y a aucune raison de revenir sur cette jurisprudence. Il en découle que le document signé par l'intimé le 18 janvier 2013 ne constitue pas une reconnaissance de dette au sens de l’art. 82 LP. c) Dans l’arrêt susmentionné, la cour a également relevé, par surabondance, que dans l'hypothèse où l'on considèrerait que le</w:t>
      </w:r>
    </w:p>
    <w:p>
      <w:r>
        <w:t>- 11 - "protocole de conseil" contenait un engagement de payer de la part du signataire, cet engagement ne pourrait être que conditionnel. Il ressortait en effet clairement du document en question que le droit de facturer était dans tous les cas subordonné au fait que la recourante eût été contrainte de rembourser tout ou partie des commissions perçues. Il lui appartenait donc, dans cette hypothèse également, de fournir la preuve par titre que cette condition était réalisée (Gilliéron, op. cit., n. 40 ad art. 82 LP; Schmidt, op. cit., n. 23 ad 82 LP). En l’espèce, le dossier constitué en première instance ne contient pas d'éléments suffisamment probants pour établir que la recourante aurait effectivement remboursé la commission perçue à la suite de la conclusion de ce contrat. En effet, la simple copie d’un document non signé qui semble être un extrait du dossier informatique de l’intimé au sein de N.________SA est manifestement insuffisante pour établir le remboursement effectif d’une quelconque commission. La réalisation de cette condition n’est ainsi pas démontrée. La mainlevée de l'opposition à la poursuite en cause ne pouvait dès lors en aucun cas être accordée. IV. Le recours doit ainsi être rejeté et le prononcé du premier juge confirmé. Les frais judiciaires de deuxième instance, arrêtés à 315 fr., sont mis à la charge de la recourante. Il n'y a pas lieu à l'allocation de dépens, l'intimé n'ayant pas procédé en deuxième instance.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