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KC13.046774 vom 25. April 2014</w:t>
      </w:r>
    </w:p>
    <w:p>
      <w:r>
        <w:t>VD Tribunal cantonal, 2014-04-25, FR</w:t>
      </w:r>
    </w:p>
    <w:p>
      <w:r>
        <w:rPr>
          <w:b/>
        </w:rPr>
        <w:t xml:space="preserve">Quelle: </w:t>
      </w:r>
      <w:r>
        <w:t>https://mcp.opencaselaw.ch/entscheid/vd_gerichte_KC13.046774</w:t>
      </w:r>
    </w:p>
    <w:p>
      <w:r>
        <w:t>FR: VD_GERICHTE KC13.046774 du 25 avril 2014</w:t>
      </w:r>
    </w:p>
    <w:p>
      <w:r>
        <w:t>IT: VD_GERICHTE KC13.046774 del 25 aprile 2014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janvier 2013, soit un montant inférieur à celui figurant dans le commandement de payer – a obtenu entièrement gain de cause en première instance, si bien que l’allocation de pleins dépens se justifiait, que l’avocate de J.________ a déposé une requête en procédure sommaire de quatre pages, accompagnée de huit pièces réunies sous bordereau,</w:t>
      </w:r>
    </w:p>
    <w:p>
      <w:r>
        <w:t>- 5 - qu'elle a dû également tenir au moins une conférence avec son client, écrire quelques correspondances et prendre connaissance de courriers et des déterminations du poursuivi, qu'au vu du temps ainsi consacré à la cause, qui certes ne présente pas de difficulté particulière, le montant de 1'500 fr., qui correspond à environ quatre heures de travail à un tarif horaire de 350 fr., sans compter la TVA, échappe à toute critique, qu’on ne saurait considérer qu’il y a disproportion manifeste au sens de l’art. 20 al. 2 TDC justifiant une réduction des dépens, que dans ces conditions, le recours, manifestement infondé au sens de l'art. 322 al. 1 CPC, doit être rejeté et le prononcé confirmé, que les frais judiciaires de deuxième instance, arrêtés à 270 fr., sont mis à la charge du recourant qui succombe (art. 106 al. 1 CPC).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