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KC13.036778 vom 16. Mai 2014</w:t>
      </w:r>
    </w:p>
    <w:p>
      <w:r>
        <w:t>VD Tribunal cantonal, 2014-05-16, FR</w:t>
      </w:r>
    </w:p>
    <w:p>
      <w:r>
        <w:rPr>
          <w:b/>
        </w:rPr>
        <w:t xml:space="preserve">Quelle: </w:t>
      </w:r>
      <w:r>
        <w:t>https://mcp.opencaselaw.ch/entscheid/vd_gerichte_KC13.036778</w:t>
      </w:r>
    </w:p>
    <w:p>
      <w:r>
        <w:t>FR: VD_GERICHTE KC13.036778 du 16 mai 2014</w:t>
      </w:r>
    </w:p>
    <w:p>
      <w:r>
        <w:t>IT: VD_GERICHTE KC13.036778 del 16 maggio 2014</w:t>
      </w:r>
    </w:p>
    <w:p>
      <w:pPr>
        <w:pStyle w:val="Heading2"/>
      </w:pPr>
      <w:r>
        <w:t>Volltext</w:t>
      </w:r>
    </w:p>
    <w:p>
      <w:r>
        <w:t>TRIBUNAL CANTONAL KC13.036778-140186 18 2 CO UR DE S P OURSUITES ET FAILL ITES ________________________________________________ Arrêt du 16 mai 2014 __________________ Présidence de M. SAUTEREL, président Juges : MM. Hack et Maillard Greffier : Mme van Ouwenaller ***** Art. 82 LP Vu le prononcé rendu le 8 octobre 2013, à la suite de l'audience du 1er octobre 2013, par le Juge de paix du district de Lausanne, rejetant la requête de mainlevée déposée par N.________, au Mont-sur- Lausanne, dans la poursuite n° 6'545'943 de l'Office des poursuites du district de Lausanne (ci-après: l'office) exercée à son instance à l'encontre de B.________, à Epalinges, arrêtant à 180 fr. les frais judiciaires mis à la charge de la poursuivante et n'allouant pas de dépens, notifié le 17 octobre 2013 à la poursuivante, 110</w:t>
      </w:r>
    </w:p>
    <w:p>
      <w:r>
        <w:t>- 2 - vu le recours adressé le 26 octobre 2013 par la poursuivante au premier juge, concluant implicitement à l'octroi de la mainlevée de l'opposition et demandant la motivation de la décision, vu les motifs adressés pour notification aux parties le 20 janvier 2014,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formé par la poursuivante par lettre du 26 octobre 2013 adressée au Juge de paix du district de Lausanne, dans le délai de demande de motivation (art. 329 al. 2 CPC), a ainsi été déposé en temps utile et dans les formes requises de sorte qu'il est recevable; attendu qu'à l'appui de sa requête de mainlevée datée du 14 juin 2013 mais munie d'un tampon humide de l'office du 14 août 2013, la poursuivante a produit l'original du commandement de payer dans la poursuite n° 6'545'943 de l'office, portant sur le montant de 5'028 fr. avec intérêt à 8 % l'an dès le 12 septembre 2012, mentionnant comme titre de la créance ou cause de l'obligation: "Location";</w:t>
      </w:r>
    </w:p>
    <w:p>
      <w:r>
        <w:t>- 3 - attendu que par prononcé du 8 octobre 2013, le Juge de paix du district de Lausanne a rejeté la requête de mainlevée, considérant que la poursuivante n'avait produit aucune pièce valant reconnaissance de dette; attendu que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que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et titre à la mainlevée provisoire ne justifie la mainlevée provisoire de l’opposition que si le montant de la prétention déduite en poursuite est</w:t>
      </w:r>
    </w:p>
    <w:p>
      <w:r>
        <w:t>- 4 - chiffré de façon précise dans le titre lui-même ou dans un écrit annexé auquel la reconnaissance se rapporte, cette indication chiffrée devant permettre au juge de la mainlevée de statuer sans se livrer à des calculs compliqués et peu sûrs (Gilliéron, op. cit., n. 42 ad art. 82 LP), qu'en l'espèce, la poursuivante n'a produit aucune pièce signée du poursuivi dont il résulterait un quelconque engagement de ce dernier de payer à la poursuivante le montant réclamé en poursuite, qu'ainsi, la poursuivante ne dispose d'aucune reconnaissance de dette valant titre de mainlevée, que les arguments invoqués par la poursuivante à l'appui de son recours – ayant trait au fait que le poursuivi devrait tenir ses engagements – ne sauraient être accueillis dans le cadre de la présente procédure, qu'en effet, le juge de la mainlevée ne statue pas sur le fond du litige, mais seulement sur la continuation de la poursuite, que la requête de mainlevée doit être rejetée; attendu que le recours, manifestement infondé au sens de l'art. 322 al. 1 CPC, doit être rejeté, que les frais de deuxième instance, arrêtés à 360 fr., sont mis à la charge de la recourante qui succombe (art. 106 al. 1 CPC).</w:t>
      </w:r>
    </w:p>
    <w:p>
      <w:r>
        <w:t>- 5 -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IV. L'arrêt est exécutoire. Le président : La greffière : Du 16 mai 2014 L'arrêt qui précède, dont la rédaction a été approuvée à huis clos, prend date de ce jour. Il est notifié, par l'envoi de photocopies, à : - N.________, - M. B.________. La Cour des poursuites et faillites considère que la valeur litigieuse est de 5'028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