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KC13.021696 vom 3. März 2014</w:t>
      </w:r>
    </w:p>
    <w:p>
      <w:r>
        <w:t>VD Tribunal cantonal, 2014-03-03, FR</w:t>
      </w:r>
    </w:p>
    <w:p>
      <w:r>
        <w:rPr>
          <w:b/>
        </w:rPr>
        <w:t xml:space="preserve">Quelle: </w:t>
      </w:r>
      <w:r>
        <w:t>https://mcp.opencaselaw.ch/entscheid/vd_gerichte_KC13.021696</w:t>
      </w:r>
    </w:p>
    <w:p>
      <w:r>
        <w:t>FR: VD_GERICHTE KC13.021696 du 3 mars 2014</w:t>
      </w:r>
    </w:p>
    <w:p>
      <w:r>
        <w:t>IT: VD_GERICHTE KC13.021696 del 3 marzo 2014</w:t>
      </w:r>
    </w:p>
    <w:p>
      <w:pPr>
        <w:pStyle w:val="Heading2"/>
      </w:pPr>
      <w:r>
        <w:t>Volltext</w:t>
      </w:r>
    </w:p>
    <w:p>
      <w:r>
        <w:t>TRIBUNAL CANTONAL KC13.021696-131520 80 CO UR DE S P OURSUITES ET FAILL ITES ________________________________________________ Arrêt du 3 mars 2014 __________________ Présidence de M. SAUTEREL, président Juges : M. Hack et Mme Rouleau Greffier : Mme van Ouwenaller ***** Art. 334 CPC Vu l'arrêt rendu le 10 décembre 2013 par la cour de céans, statuant sur le recours exercé par U.________, à Villeneuve, contre le prononcé rendu le 20 juin 2013 par le Juge de paix du district d'Aigle, dans la cause qui l'oppose à I.________, à Lausanne, vu le dernier considérant de l'arrêt du 10 décembre 2013 dont la teneur est la suivante: "Les frais judiciaires de deuxième instance, arrêtés à 510 fr., sont mis à la charge de l'intimée qui succombe (art. 106 al. 1 CPC). Celle-ci doit verser des dépens au recourant, arrêtés à 1'000 fr. (art. 3 et 13 TDC [Tarif des dépens en matière civile du 23 novembre 2010; RSV 270.11.6])", 111</w:t>
      </w:r>
    </w:p>
    <w:p>
      <w:r>
        <w:t>- 2 - vu les chiffres III et IV du dispositif dont la teneur est la suivante: "III. Les frais judiciaires de deuxième instance, arrêtés à 510 fr. (cinq cent dix francs), sont mis à la charge de l'intimée. IV. L'intimée I.________ doit verser au recourant U.________ la somme de 510 fr. (cinq cent dix francs) à titre de restitution d'avance de frais et de dépens de deuxième instance", vu la requête de rectification présentée le 12 décembre 2013 par U.________, vu le délai de détermination imparti à I.________, vu l'art. 334 CPC (Code de procédure civile du 19 décembre 2008; RS 272); attendu que si le dispositif de la décision ne correspond pas à la motivation, le tribunal procède à la rectification, que tel est le cas en l'espèce; attendu que conformément à l'art. 3 al. 1 TDC, en règle générale, la partie qui succombe est tenue de rembourser à la partie qui a obtenu gain de cause tous les frais nécessaires causés par le litige, qu'en l'espèce, le recours déposé par U.________ a été admis, qu'en conséquence, ce dernier a droit à des dépens, que ceux-ci comprennent le remboursement des frais judiciaires de 510 fr. ainsi qu'une indemnité à titre de défraiement du mandataire professionnel, de 1'000 fr. (art. 13 TDC),</w:t>
      </w:r>
    </w:p>
    <w:p>
      <w:r>
        <w:t>- 3 - que le chiffre IV du dispositif doit être rectifié, conformément à l'art. 334 CPC, en ce sens que l'intimée qui succombe doit verser au recourant 1'510 fr. à titre de restitution d'avance de frais et de dépens de deuxième instance; attendu que le présent arrêt peut être rendu sans frais ni dépens. Par ces motifs, la Cour des poursuites et faillites du Tribunal cantonal, statuant à huis clos en sa qualité d'autorité de recours en matière sommaire de poursuites, prononce : I. Le chiffre IV du dispositif de l'arrêt de la cour de céans du 10 décembre 2013 (réf: KC13.021696-131520) est rectifié comme il suit: "IV. L'intimée I.________ doit verser au recourant U.________ la somme de 1'510 fr. (mille cinq cent dix francs) à titre de restitution d'avance de frais et de dépens de deuxième instance. II. L’arrêt, rendu sans frais ni dépens, est exécutoire. Le président : La greffière :</w:t>
      </w:r>
    </w:p>
    <w:p>
      <w:r>
        <w:t>- 4 - Du 3 mars 2014 L'arrêt qui précède, dont la rédaction a été approuvée à huis clos, prend date de ce jour. Il est notifié, par l'envoi de photocopies, à : - M. Philippe Chiocchetti, agent d'affaires breveté (pour U.________), - I.________. La Cour des poursuites et faillites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