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KC13.008202 vom 24. Januar 2014</w:t>
      </w:r>
    </w:p>
    <w:p>
      <w:r>
        <w:t>VD Tribunal cantonal, 2014-01-24, FR</w:t>
      </w:r>
    </w:p>
    <w:p>
      <w:r>
        <w:rPr>
          <w:b/>
        </w:rPr>
        <w:t xml:space="preserve">Quelle: </w:t>
      </w:r>
      <w:r>
        <w:t>https://mcp.opencaselaw.ch/entscheid/vd_gerichte_KC13.008202</w:t>
      </w:r>
    </w:p>
    <w:p>
      <w:r>
        <w:t>FR: VD_GERICHTE KC13.008202 du 24 janvier 2014</w:t>
      </w:r>
    </w:p>
    <w:p>
      <w:r>
        <w:t>IT: VD_GERICHTE KC13.008202 del 24 gennaio 2014</w:t>
      </w:r>
    </w:p>
    <w:p>
      <w:pPr>
        <w:pStyle w:val="Heading2"/>
      </w:pPr>
      <w:r>
        <w:t>Volltext</w:t>
      </w:r>
    </w:p>
    <w:p>
      <w:r>
        <w:t>TRIBUNAL CANTONAL KC13.008202-132506 25 CO UR DE S P OURSUITES ET FAILL ITES ________________________________________________ Arrêt du 24 janvier 2014 ___________________ Présidence de M. SAUTEREL, président Juges : M. Hack et Mme Byrde Greffier : Mme Debétaz Ponnaz ***** Art. 239 al. 2 et 321 al. 1 CPC Vu la décision rendue le 29 avril 2013, à la suite de l'audience du 8 avril 2013, par le Juge de paix du district du Jura-Nord vaudois, prononçant la mainlevée provisoire, à concurrence de 12'253 fr. 85, plus intérêt au taux de 6 % l'an dès le 26 février 2012, de l'opposition formée à la poursuite n° 6'423'993 de l'Office des poursuites du district du Jura-Nord vaudois exercée à l'instance de A.________AG, à Herzogenbuchsee (BE), contre J.________, au Sentier, arrêtant à 360 fr. les frais judiciaires, compensés avec l'avance de frais de la poursuivante, et les mettant partiellement à la charge du poursuivi, qui doit en conséquence rembourser à la poursuivante la moitié de son avance de frais, à concurrence de 180 francs, sans allocation de dépens pour le surplus, 111</w:t>
      </w:r>
    </w:p>
    <w:p>
      <w:r>
        <w:t>- 2 - vu la notification de ce dispositif à la poursuivante le 30 avril 2013, vu la lettre mentionnant comme objet "Recours", adressée le 6 mai 2013 au Juge de paix du district du Jura-Nord vaudois par la poursuivante, faisant valoir que sa requête de mainlevée portait sur un montant de 44'917 fr. 95, sur la base de deux factures, plus intérêts à 8,5 % dès le 4 octobre 2012, et demandant au premier juge "de bien vouloir vérifier cette problématique afin d'assurer que l'action juridique puisse être poursuivie", lettre que ledit magistrat a considérée comme une demande de motivation, vu les motifs du prononcé de mainlevée adressés aux parties le 18 et notifiés à la poursuivante le 19 novembre 2013, vu la transmission du dossier par le juge de paix à la cour de céans, autorité de recours, le 17 décembre 2013;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w:t>
      </w:r>
    </w:p>
    <w:p>
      <w:r>
        <w:t>- 3 - procédure de recours régie par le CPC (Tappy, Les voies de droit du nouveau Code de procédure civile, in JT 2010 III 115, spéc. p. 131), que le recours adressé le 6 mai 2013 au Juge de paix du district du Jura-Nord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 même, ce qui exige une certaine précision quant à l'énoncé et à la</w:t>
      </w:r>
    </w:p>
    <w:p>
      <w:r>
        <w:t>- 4 - discussion des griefs (CREC, 23 août 2011/143; CREC, 11 mai 2012/173; Jeandin, ibidem), qu'en l'espèce, le recours du 6 mai 2013 ne contient aucune conclusion ni aucun grief, motif ou moyen de recours reconnaissable contre la décision de mainlevée, la recourante relevant en substance qu'elle n'a pas obtenu ce qu'elle avait demandé et demandant au juge de revoir la cause, ce qui est insuffisant pour répondre aux exigences légales de motivation, que la recourante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6 mai 2013, faute d'être motivé, ne satisfait pas aux exigences de forme posées par la loi et doit par conséquent être déclaré irrecevable;</w:t>
      </w:r>
    </w:p>
    <w:p>
      <w:r>
        <w:t>- 5 -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janvier 2014 L'arrêt qui précède, dont la rédaction a été approuvée à huis clos, prend date de ce jour. Il est notifié, par l'envoi de photocopies, à : - A.________AG, - M. J.________. La Cour des poursuites et faillites considère que la valeur litigieuse est de 32'664 fr. 10. Le présent arrêt peut faire l'objet d'un recours en matière civile devant le Tribunal fédéral au sens des art. 72 ss LTF (loi du 17 juin</w:t>
      </w:r>
    </w:p>
    <w:p>
      <w:r>
        <w:t>- 6 - 2005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