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KC12.039860 vom 30. Juli 2013</w:t>
      </w:r>
    </w:p>
    <w:p>
      <w:r>
        <w:t>VD Tribunal cantonal, 2013-07-30, FR</w:t>
      </w:r>
    </w:p>
    <w:p>
      <w:r>
        <w:rPr>
          <w:b/>
        </w:rPr>
        <w:t xml:space="preserve">Quelle: </w:t>
      </w:r>
      <w:r>
        <w:t>https://mcp.opencaselaw.ch/entscheid/vd_gerichte_KC12.039860</w:t>
      </w:r>
    </w:p>
    <w:p>
      <w:r>
        <w:t>FR: VD_GERICHTE KC12.039860 du 30 juillet 2013</w:t>
      </w:r>
    </w:p>
    <w:p>
      <w:r>
        <w:t>IT: VD_GERICHTE KC12.039860 del 30 luglio 2013</w:t>
      </w:r>
    </w:p>
    <w:p>
      <w:pPr>
        <w:pStyle w:val="Heading2"/>
      </w:pPr>
      <w:r>
        <w:t>Erwägungen</w:t>
      </w:r>
    </w:p>
    <w:p>
      <w:r>
        <w:rPr>
          <w:b/>
        </w:rPr>
        <w:t>E. 12</w:t>
      </w:r>
    </w:p>
    <w:p>
      <w:r>
        <w:t>et 15), que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 citées à la note infrapaginale n. 25; CPF, 15 janvier 2013/19; CPF, 7 septembre 2006/416; CPF, 7 avril 2006/172), qu'en l'espèce, la décision de taxation du 14 octobre 2011 invoquée par le poursuivant astreint le recourant au paiement d'une somme d'argent échue à titre d'impôt foncier pour l'année fiscale 2011, que tant cette décision que le décompte final du 18 octobre 2011 indiquent les voies de droit à disposition du poursuivi pour les contester, et portent une mention selon laquelle ce dernier n'a pas agi et qu'ils sont entrés en force, que par décision du 5 juin 2012, l'Office d'impôt du district de Morges a décidé que l'impôt foncier 2011 du poursuivi était garanti par une hypothèque légale de droit public privilégiée sur l'immeuble n° [...] de la Commune de Chevilly, que cette décision mentionne les voies de droit applicables ainsi que le fait qu'elle a force exécutoire au sens de l'art. 80 LP,</w:t>
      </w:r>
    </w:p>
    <w:p>
      <w:r>
        <w:t>- 7 - que selon l’art. 1 let. e LICom (loi sur les impôts communaux du 5 décembre 1956 ; RSV 650.11), les communes peuvent percevoir un impôt foncier proportionnel sans défalcation de dettes, que la décision de taxation a été rendue par une autorité administrative investie du pouvoir de statuer dans le domaine concerné (art. 38 LICom), que l'art. 39 al. 3 LICom prévoit que le paiement d'impôts communaux est garanti par une hypothèque légale privilégiée, pour la part qui se rapporte à un immeuble, conformément aux dispositions du Code de droit privé judiciaire vaudois (RSV 211.02), que le poursuivant n'a produit aucune pièce attestant que les décisions du 14 octobre 2011, du 5 juin 2012 ou que le décompte final du 18 octobre 2011 sont bien parvenus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w:t>
      </w:r>
    </w:p>
    <w:p>
      <w:r>
        <w:t>- 8 -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la décision de taxation du 14 octobre 2011, le décompte final de l’impôt foncier du 18 octobre 2011 ou la décision d'hypothèque légale privilégiée du 5 juin 2012, qu'il convient donc de considérer qu'il les a reçus, qu'en définitive, ces documents valent titre à la mainlevée définitive; attendu que le point de départ de l'intérêt alloué, soit le 1er janvier 2012, lendemain de l'échéance du délai de paiement fixé au 31 décembre 2011 dans le décompte final, et son taux de 3 %, conforme à l'art. 2 al. 2 RPerc (Règlement concernant la perception des contributions du 16 mars 2005; RSV 642.11.6), sont corrects, que le recourant ne conteste pas non plus ce point;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- 9 - que la compensation avec une créance exigible, au sens de l'art. 120 CO (Code des obligations, loi du 30 mars 1911 complétant le Code civil suisse; RS 220), établie par pièces, est également un moyen libératoire opposable à la mainlevée (Panchaud/Caprez, op. cit., § 144), qu'en l'espèce, le recourant invoque la compensation de sa dette de 360 fr. avec une somme de 7'500 fr. qu'il aurait versée au poursuivant, que cependant, s’il a produit une lettre qu’il a adressée le 13 juillet 2006 à Laure Thonney, notaire, pour qu’elle procède au paiement de 7'500 fr. en faveur du poursuivi, il n’établit pas que ce paiement a été effectué, que le recourant n'a ainsi pas démontré être le créancier du poursuivant, qu'il ne peut dès lors invoquer aucune créance en compensation de sa dette en poursuite, qu'au demeurant, une créance fiscale ne peut être éteinte par compensation contre la volonté du créancier (art. 125 ch. 3 CO); attendu que le recours est manifestement infondé (art. 322 al. 1 CPC), qu'il doit par conséquent être rejeté et le prononcé attaqué confirmé; attendu que l'assistance judiciaire sous la forme d'une exonération des avances et des frais judiciaires ayant été accordée au recourant par décision de la vice-présidente de la cour de céans du 28 juin</w:t>
      </w:r>
    </w:p>
    <w:p>
      <w:r>
        <w:t>- 10 - 2013, les frais judiciaires de deuxième instance, arrêtés à 360 fr., doivent être laissés à la charge de l'Etat, sous réserve de leur remboursement ultérieur, conformément à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