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KC11.036212 vom 11. Juli 2012</w:t>
      </w:r>
    </w:p>
    <w:p>
      <w:r>
        <w:t>VD Tribunal cantonal, 2012-07-11, FR</w:t>
      </w:r>
    </w:p>
    <w:p>
      <w:r>
        <w:rPr>
          <w:b/>
        </w:rPr>
        <w:t xml:space="preserve">Quelle: </w:t>
      </w:r>
      <w:r>
        <w:t>https://mcp.opencaselaw.ch/entscheid/vd_gerichte_KC11.036212</w:t>
      </w:r>
    </w:p>
    <w:p>
      <w:r>
        <w:t>FR: VD_GERICHTE KC11.036212 du 11 juillet 2012</w:t>
      </w:r>
    </w:p>
    <w:p>
      <w:r>
        <w:t>IT: VD_GERICHTE KC11.036212 del 11 luglio 2012</w:t>
      </w:r>
    </w:p>
    <w:p>
      <w:pPr>
        <w:pStyle w:val="Heading2"/>
      </w:pPr>
      <w:r>
        <w:t>Erwägungen</w:t>
      </w:r>
    </w:p>
    <w:p>
      <w:r>
        <w:rPr>
          <w:b/>
        </w:rPr>
        <w:t>E. 1</w:t>
      </w:r>
    </w:p>
    <w:p>
      <w:r>
        <w:t>a) Par contrat de prêt hypothécaire du 23 mars 2005, la V.________ a prêté à la société E.________ SA la somme de 2'000'000 fr. en premier rang, avec intérêt à 3,5 % l'an, exigible chaque trimestre les 31 mars, 30 juin, 30 septembre et 31 décembre de chaque année. Le contrat prévoyait également un amortissement fixe de 10'000 fr. par trimestre dès le 30 juin 2005 ; il était prévu que soient remises en propriété à la banque, à titre de garanties, notamment une cédule au porteur de 1'660'000 fr. du</w:t>
      </w:r>
    </w:p>
    <w:p>
      <w:r>
        <w:rPr>
          <w:b/>
        </w:rPr>
        <w:t>E. 2</w:t>
      </w:r>
    </w:p>
    <w:p>
      <w:r>
        <w:t>Par prononcé du 9 février 2012, rendu à la suite d'une audience tenue contradictoirement le 24 janvier 2012, le Juge de paix du district d'Aigle a rejeté la requête de mainlevée de l'opposition (I), arrêté à 1'800 fr. les frais judiciaires (II), mis ces frais à la charge des poursuivants (III) et dit que ces derniers devaient verser à la poursuivie la somme de 10'000 fr. à titre de dépens pour le défraiement de son représentant professionnel (IV). Les poursuivants ont requis la motivation de ce prononcé par lettre de leur conseil du 14 février 2012. En conséquence, les motifs de ce prononcé ont été adressés pour notification aux parties le 15 février 2012 et distribués le lendemain aux conseils des parties. Le premier juge a considéré en substance que les cédules hypothécaires au porteur produites par les poursuivants avaient été établies le 16 juin 2008, soit postérieurement au contrat de prêt hypothécaire, si bien qu'il y avait un doute sur la qualité de propriétaire des cédules des poursuivants. En outre, les cédules ne mentionnaient pas le nom de leur débiteur et la qualité de débitrice des cédules de la poursuivie n'était pas établie par les pièces produites.</w:t>
      </w:r>
    </w:p>
    <w:p>
      <w:r>
        <w:rPr>
          <w:b/>
        </w:rPr>
        <w:t>E. 3</w:t>
      </w:r>
    </w:p>
    <w:p>
      <w:r>
        <w:t>Les poursuivants ont recouru par mémoire du lundi 27 février 2012 concluant, avec frais et dépens, à la réforme du prononcé en ce sens que l'opposition formée par la poursuivie est provisoirement levée, tant en ce qui concerne la créance qu'en ce qui concerne le gage, libre cours étant laissé à la poursuite. Par lettre du 2 avril 2012, le conseil de l'intimée a indiqué que sa mandante s'en remettait à justice. En d roit :</w:t>
      </w:r>
    </w:p>
    <w:p>
      <w:r>
        <w:t>- 5 - I. Le recours a été formé en temps utile, dans le délai de dix jours de l'art. 321 al. 2 CPC (Code de procédure civile du 19 décembre 2008, entré en vigueur le 1er janvier 2011; RS 272), compte tenu du report au premier jour ouvrable du délai qui expirait un dimanche (art. 142 al. 3 CPC). Il est écrit et motivé et contient des conclusions tendant au rejet de la mainlevée et au maintien de l'opposition (sur l'exigence de conclusions : cf. Jeandin, CPC commenté, n. 5 ad art. 321 CPC; Freiburghaus/Afheldt, ZPO Kommentar, n. 14 ad art. 321 CPC; ATF 137 III 617 c. 4). Il est ainsi recevable.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136 III 627 c. 2; ATF 136 III 624 c. 4.2.2; ATF 132 III 480 c. 4.1, JT 2007 II 75; ATF 130 III 87, JT 2004 II 118 ; ATF 122 III 125, JT 1998 II 82 ;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w:t>
      </w:r>
    </w:p>
    <w:p>
      <w:r>
        <w:t>- 6 - auquel la reconnaissance se rapporte; cette indication chiffrée doit permettre au juge de la mainlevée de statuer sans se livrer à des calculs compliqués et peu sûrs (Gilliéron, op. cit., n. 42 ad art. 82 LP). b) Dans une poursuite en réalisation de gage immobilier, la cédule hypothécaire - comme la lettre de rente - est une reconnaissance de dette abstraite et un titre à la mainlevée provisoire de l'opposition, que ce soit la prétention déduite en poursuite et/ou le droit de gage allégué qui soient contestés, mais pour autant que la créance hypothécaire ait été dénoncée au remboursement conformément à l'art. 844 CC (Code civil du 10 décembre 1907, RS 210 ; voir Gilliéron, op. cit., n. 64 ad art. 82 LP). Contrairement aux poursuites ordinaires, une poursuite en réalisation de gage immobilier se continue par la réalisation du gage et non par la saisie ou la faillite du poursuivi (art. 41 al. 1 et 154 LP). Ainsi, pour pouvoir obtenir la mainlevée de l'opposition qui porte tant sur la créance que sur le droit de gage (art. 85 de l’ordonnance du Tribunal fédéral du 23 avril 1920 sur la réalisation forcée des immeubles [ORFI], RS 281.42), le créancier doit faire valoir dans la poursuite une créance assortie d'un droit de gage immobilier et l'opposition devra être maintenue si le créancier n'établit pas par pièces tant sa créance que son droit de gage (Denys, Cédule hypothécaire et mainlevée, in JT 2008 II 3 ss, p. 14; Jaques, Exécution forcée spéciales des cédules hypothécaires, in BISchK 2001, pp. 201 ss, p. 207 et les références citées à la note infrapaginale n. 25; CPF,</w:t>
      </w:r>
    </w:p>
    <w:p>
      <w:r>
        <w:rPr>
          <w:b/>
        </w:rPr>
        <w:t>E. 7</w:t>
      </w:r>
    </w:p>
    <w:p>
      <w:r>
        <w:t>septembre 2006/416; CPF, 27 avril 2006/172). La créance incorporée dans une cédule hypothécaire doit clairement être distinguée de la créance causale issue du rapport contractuel de base et résultant, par exemple, d'un contrat de prêt (ATF 119 III 105, JT 1996 II 115; ATF 115 II 149 c. 3, rés. in JT 1989 I 583). Seule la créance incorporée dans la cédule hypothécaire jouit d'un droit de gage immobilier et peut, par conséquent, fonder une poursuite en réalisation d'un tel gage (BISchK 2005 p. 185; JT 2004 II 70, BISchK 2005 p. 190). En vertu de l'art. 855 al. 1 CC, la constitution d'une cédule hypothécaire éteint par novation l'obligation dont elle résulte et donne</w:t>
      </w:r>
    </w:p>
    <w:p>
      <w:r>
        <w:t>- 7 -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ATF 132 III 166 c. 6.2; ATF 119 III 105 précité, JT 1996 II 115). 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 si elle contient une mention qu'il s'agit-là de précisions de la cédule, celle-ci constitue alors une garantie directe ; si, en revanche, elle est intitulée prêt, compte-courant ou contrat de crédit et renvoie à la cédule hypothécaire en tant que garantie, le rapport juridique de base subsiste et la cédule est remise à titre de garantie fiduciaire (TF 5A_303/2009 du 5 août 2009 c. 3.4 in initio; Staehelin, Betreibung und Rechtsöffnung beim Schuldbrief, in PJA 1994, pp. 1255 ss, pp. 1258-1259). En l'espèce, il ne fait aucun doute qu'il existe bien des créances distinctes : le contrat de crédit conclu entre la poursuivie et la banque prévoyait que des cédules devaient être remises en propriété à la banque à titre de garanties. La créance abstraite n'a donc pas remplacé la créance causale, mais elle est venue la doubler aux fins d'en faciliter et d'en garantir le recouvrement. Dans le commandement de payer, les</w:t>
      </w:r>
    </w:p>
    <w:p>
      <w:r>
        <w:t>- 8 - recourants se sont explicitement prévalus, à juste titre, de la créance abstraite, seule à même de faire l'objet d'une poursuite en réalisation de gage immobilier, puisque seule assortie d'un droit de gage immobilier.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 incorporés dans le papier-valeur (cf. art. 842 et 859 CC);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(Code des obligations du 30 mars 1911, RS 220)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3159e, pp 458-459). A moins que ces facultés ne lui aient été spécialement octroyées par convention, le créancier nanti d'une cédule hypothécaire au porteur ne peut dès lors pas exercer les droits incorporés dans le titre (ATF 97 III 119, rés. in JT 1973 II 27; Denys, op. cit., p. 8; Favre/Liniger, Cédules hypothécaires et procédure de mainlevée, in SJ 1995 pp. 101 ss, p. 105; TF 5C.249/2004 du 2 mars 2005 c. 2.2 et les références citées);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 11/2005 du 27 mai 2005 c. 3.1). Conformément à l'art. 930 al. 1 CC, le possesseur d'une chose mobilière en est présumé propriétaire. Cette règle s'applique notamment aux titres au porteur, à l'égard desquels les présomptions des art. 930 et</w:t>
      </w:r>
    </w:p>
    <w:p>
      <w:r>
        <w:t>- 9 - suivants CC valent tant pour le droit sur le titre que pour le droit incorporé à celui-ci.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 (Favre/Liniger, op. cit., p. 106). Il peut opposer cette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(ATF 54 II 244 c. 2, JT 1929 I 117; TF 5C.11/2005 du 27 mai 2005 précité, c. 3.2.1). Dans le cas présent, les recourants, qui ont la possession des cédules hypothécaires dont ils se disent propriétaires, sont par conséquent présumés titulaires des droits incorporés dans ces titres.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(CPF, 16 janvier 2003/8 et les références citées). Si la dette a été reprise par un tiers, et que le changement de débiteur n'a pas été inscrit sur le titre par le conservateur du registre foncier, il appartient à ce débiteur d'établir - voire même seulement de</w:t>
      </w:r>
    </w:p>
    <w:p>
      <w:r>
        <w:t>- 10 -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références citées). Le créancier poursuivant peut aussi établir par la production d'autres actes que la cédule que le nouvel acquéreur a repris la dette abstraite contenue dans la cédule (Denys, op. cit., p. 11; CPF, 27 avril 2006/172 précité; CPF, 16 mars 2006/94; CPF, 13 janvier 2005/121 ; CPF, 20 février 2003/41). Si la cédule ne comporte pas l'indication d'un débiteur, le créancier ne pourra obtenir de même la mainlevée provisoire que s'il produit en plus de la cédule, une copie légalisée de la pièce justificative contenant l'engagement du débiteur (Denys, op. cit., p. 12; ATF 129 III 12 précité c. 2.5, JT 2003 II 35 et les références citées). Dans cette hypothèse, il n'est en aucun cas possible de présumer que le propriétaire de l'immeuble grevé est le débiteur. La cédule hypothécaire est ainsi un papier-valeur atypique : lorsqu'elle n'indique pas de nom de débiteur, son titulaire peut, sur la base du registre et du titre, être sûr qu'il y a un débiteur, mais il lui appartient d'établir son identité (Steinauer, op. cit., n. 2964e, p. 329). En l'occurrence, les cédules produites ne mentionnent pas l'indication du débiteur de ces cédules. Les recourants n'ont pas produit, en plus des cédules hypothécaires, de copies légalisées des pièces justificatives contenant l'engagement du débiteur. Comme l'a vu le premier juge, ils ne pouvaient ainsi obtenir la mainlevée provisoire de l'opposition. III. Le recours doit en conséquence être rejeté, le prononcé étant confirmé. Les frais de deuxième instance sont arrêtés à 1’825 fr. et mis à la charge des recourants solidairement entre eux. Ces derniers,</w:t>
      </w:r>
    </w:p>
    <w:p>
      <w:r>
        <w:t>- 11 - solidairement entre eux, doivent payer à l'intimée de pleins dépens fixés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