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KC11.019853 vom 7. Mai 2012</w:t>
      </w:r>
    </w:p>
    <w:p>
      <w:r>
        <w:t>VD Tribunal cantonal, 2012-05-07, FR</w:t>
      </w:r>
    </w:p>
    <w:p>
      <w:r>
        <w:rPr>
          <w:b/>
        </w:rPr>
        <w:t xml:space="preserve">Quelle: </w:t>
      </w:r>
      <w:r>
        <w:t>https://mcp.opencaselaw.ch/entscheid/vd_gerichte_KC11.019853</w:t>
      </w:r>
    </w:p>
    <w:p>
      <w:r>
        <w:t>FR: VD_GERICHTE KC11.019853 du 7 mai 2012</w:t>
      </w:r>
    </w:p>
    <w:p>
      <w:r>
        <w:t>IT: VD_GERICHTE KC11.019853 del 7 maggio 2012</w:t>
      </w:r>
    </w:p>
    <w:p>
      <w:pPr>
        <w:pStyle w:val="Heading2"/>
      </w:pPr>
      <w:r>
        <w:t>Erwägungen</w:t>
      </w:r>
    </w:p>
    <w:p>
      <w:r>
        <w:rPr>
          <w:b/>
        </w:rPr>
        <w:t>E. 7</w:t>
      </w:r>
    </w:p>
    <w:p>
      <w:r>
        <w:t>septembre 2007 puisque cette dernière ne fixe guère que l'heure, le lieu et la durée du spectacle, la durée du séjour sur place, la rémunération, la question des frais de déplacement et d'annulation. Ce document n'impose, en particulier, aucune contrainte à l'artiste en ce qui concerne le choix du programme, de sa prestation ou de son accompagnateur. Le cas présent est ainsi fondamentalement différent de ceux jugés dans les arrêts parus aux ATF 112 II 41 (spéc. p. 43) ou 126 III 75, qui concernait également une artiste lyrique, laquelle était cependant contractuellement obligée, pour sept représentations et la durée des répétitions, d'obéir aux instructions données par le metteur en scène, le chef d'orchestre et l'éventuel chorégraphe.</w:t>
      </w:r>
    </w:p>
    <w:p>
      <w:r>
        <w:t>- 8 - Dans ces conditions, le moyen tiré d'une mauvaise exécution de la prestation ne pourrait être admis que moyennant que la recourante rende vraisemblable avoir fait valoir l'existence d'un défaut affectant la prestation envers la poursuivante en temps et lieux. S'agissant d'une prestation de spectacle exécutée dans le cadre d'un festival organisé par la recourante, cette dernière pouvait constater la durée de la prestation directement et invoquer ce moyen à bref délai. En l'absence de toute pièce produite et même de toute allégation relative tant à l'existence d'un tel avis qu'au moment auquel il aurait été donné, la recourante ne rend pas vraisemblable ce moyen. Il s'ensuit que le point de savoir si la prestation a ou non été exécutée conformément au contrat est sans incidence sur l'issue du litige. IV. La recourante invoque encore qu'elle n'aurait pas signé, respectivement rédigé, les documents produits par la poursuivante. a) La reconnaissance de dette signée par un représentant ne justifie en principe la mainlevée dans la poursuite introduite contre le représenté que si les pouvoirs du représentant sont établis par pièces, en tout cas s'ils sont contestés par le poursuivi (Gilliéron, Commentaire de la loi fédérale sur la poursuite pour dettes et la faillite, n. 34 ad art. 82 LP). Selon la jurisprudence, il n'est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(ATF 112 III 88 c. 2c et les références citées, JT 1989 II 60). De même, quand l'obligé est une personne morale, la mainlevée provisoire dans la poursuite contre celle-ci ne peut être prononcée que si les pouvoirs du représentant (art. 32 al. 1 CO) ou de l'organe (art. 55 al. 2 CC [Code civil suisse du 10 décembre 1907; RS 210]) qui a signé sont prouvés par pièces ou par un comportement concluant du représenté au cours de la procédure sommaire de mainlevée. A défaut de</w:t>
      </w:r>
    </w:p>
    <w:p>
      <w:r>
        <w:t>- 9 - tels pouvoirs ou preuve des pouvoirs, la mainlevée contre le représenté doit être refusée (ATF 130 III 87 c. 3.1, rés. in JT 2004 II 118 ; Panchaud/Caprez, La mainlevée d'opposition, § 5). En procédure de mainlevée, une telle volonté doit ainsi ressortir distinctement des pièces du dossier, qu'il s'agisse d'une manifestation expresse ou d'une ratification tacite, résultant d'un comportement concluant (CPF, 2 mars 2006/73). Le Tribunal fédéral a ainsi jugé arbitraire d'admettre que des pouvoirs de représentation pouvaient être déduits du fait que le poursuivi avait auparavant honoré des actes signés par le supposé représentant. Un tel fait ne permet pas d'affirmer, de manière claire et nette, que le représentant est autorisé à signer les titres litigieux (ATF 130 III 87 précité c. 3.3, JT 2004 II 118). b) La poursuivie est une association à but idéal, inscrite au registre du commerce. Elle ne peut agir que par ses organes. Selon l'inscription figurant au registre du commerce, L.________, présidente, ne pouvait engager l'association que par la signature collective à deux dont elle bénéficie avec T.________. Le contrat du 7 septembre 2007 porte une signature illisible au-dessus du nom de L.________. L'indication manuscrite « p.p.c » pourrait suggérer que le signataire a agi « par procuration ». Cette signature ne correspond pas non plus à celle d'T.________ figurant sur la procuration produite en procédure par l'association. Il s'ensuit qu'il n'est pas établi que la reconnaissance de dette a été signée valablement par les organes de l'association recourante. Il n'est pas établi par pièce non plus que ces mêmes organes auraient conféré au signataire du contrat du mois de septembre 2007 les pouvoirs de représenter l'association pour la conclusion d'un contrat. Toutefois, la poursuivante s'est produite dans le cadre du festival organisé par la poursuivie et y a fourni une prestation. Cela ressort clairement des pièces du dossier. Il n'apparaît pas, par ailleurs, que la poursuivie se serait opposée d'une manière ou d'une autre à cette prestation qui était, du reste, annoncée dans les programmes de la</w:t>
      </w:r>
    </w:p>
    <w:p>
      <w:r>
        <w:t>- 10 - manifestation. De plus, cette dernière n'a pas tenté de démontrer qu'un autre engagement aurait été conclu, à titre gratuit ou même à moindres frais, avec la poursuivante, ce que l'on ne saurait présumer. Dans ces conditions, on doit admettre que la ratification par acte concluant de l'engagement pris au nom de l'association ressort clairement des pièces produites en procédure. V. A teneur de l'art. 67 al. 1 ch. 3 LP, la réquisition de poursuite adressée à l'office énonce le montant de la créance en valeur légale suisse. La conversion se fait au cours de l'offre des devises du jour de la réquisition de poursuite (ATF 51 III 180 c. 4 ; ATF 135 III 88 c. 4.1). Le taux de conversion constitue un fait notoire que le juge doit prendre en compte d'office (ATF 135 III 88 c. 4.1 précité). La poursuivante a produit une copie de sa réquisition de poursuite datée du 9 juillet 2010 et indiquant un montant en poursuite de 26'715 fr. 17, correspondant en francs suisse à 20'000 Euros au cours 1 fr. 3357 pour 1 Euro. La recourante ne conteste pas ce taux et il n'apparaît pas non plus qu'il s'écarte significativement des taux pratiqués ce jour là sur les marchés. VI. L'intimée a conclu à ce que la recourante soit condamnée au paiement d'une amende disciplinaire en application de l'art. 128 CPC. Selon son appréciation, le procédé de la recourante présenterait un caractère téméraire. D'après la jurisprudence, agit de façon téméraire celui qui dépose un recours manifestement dénué de toute chance de succès et dont s'abstiendrait tout plaideur raisonnable et de bonne foi (cf. ATF 120 III 107 c. 4b). Tel n'est pas le cas en l'espèce, comme cela ressort des considérants qui précèdent.</w:t>
      </w:r>
    </w:p>
    <w:p>
      <w:r>
        <w:t>- 11 - VII. Le recours doit ainsi être rejeté et le prononcé confirmé. Les frais de deuxième instance de la recourante doivent être arrêtés à 570 francs. Cette dernière doit verser à l'intimée, assistée d'un conseil, la somme de 1'200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