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KC10.034031 vom 16. Oktober 2008</w:t>
      </w:r>
    </w:p>
    <w:p>
      <w:r>
        <w:t>VD Tribunal cantonal, 2008-10-16, FR</w:t>
      </w:r>
    </w:p>
    <w:p>
      <w:r>
        <w:rPr>
          <w:b/>
        </w:rPr>
        <w:t xml:space="preserve">Quelle: </w:t>
      </w:r>
      <w:r>
        <w:t>https://mcp.opencaselaw.ch/entscheid/vd_gerichte_KC10.034031</w:t>
      </w:r>
    </w:p>
    <w:p>
      <w:r>
        <w:t>FR: VD_GERICHTE KC10.034031 du 16 octobre 2008</w:t>
      </w:r>
    </w:p>
    <w:p>
      <w:r>
        <w:t>IT: VD_GERICHTE KC10.034031 del 16 ottobre 2008</w:t>
      </w:r>
    </w:p>
    <w:p>
      <w:pPr>
        <w:pStyle w:val="Heading2"/>
      </w:pPr>
      <w:r>
        <w:t>Erwägungen</w:t>
      </w:r>
    </w:p>
    <w:p>
      <w:r>
        <w:rPr>
          <w:b/>
        </w:rPr>
        <w:t>E. 10</w:t>
      </w:r>
    </w:p>
    <w:p>
      <w:r>
        <w:t>novembre 2005/390).</w:t>
      </w:r>
    </w:p>
    <w:p>
      <w:r>
        <w:t>- 5 - En conséquence, il appartient au poursuivant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3 avril 2008/129; CPF, 21 juin 2007/223). Selon la jurisprudence, doit être qualifié d'exécutoire au sens de l'art. 80 al. 1 LP le prononcé qui a non seulement force exécutoire, mais encore force de chose jugée, c'est-à-dire qui est devenu définitif parce qu'il ne peut plus être attaqué par une voie de recours ordinaire ayant effet suspensif en vertu de la loi (TF 5D_17/2020 du 12 mai 2010 c. 2; ATF 131 III 87 c. 3.2 et les références citées). Toutefois, pour les décisions rendues par les autorités administratives de la Confédération, notamment en matière d'assurances sociales, la doctrine tend à se satisfaire d'une décision exécutoire, même si elle n'est pas encore définitive (Staehelin, op. cit., n. 111 ad art. 80 LP et les références citées). c) En l'espèce, la poursuivante a produit sa propre décision du</w:t>
      </w:r>
    </w:p>
    <w:p>
      <w:r>
        <w:rPr>
          <w:b/>
        </w:rPr>
        <w:t>E. 12</w:t>
      </w:r>
    </w:p>
    <w:p>
      <w:r>
        <w:t>mars 2004 ainsi qu'un jugement du Tribunal des assurances du 16 octobre 2008 réformant cette décision et arrêtant la somme due notamment par le poursuivi à 24'202 fr. 40. Certes, comme l'a relevé le premier juge, le dossier ne contient aucune indication permettant de savoir si ce jugement est définitif, en particulier s'il a fait l'objet d'un recours au Tribunal fédéral. Toutefois, depuis l'entrée en vigueur le 1er janvier 2007 de la LTF (loi du 17 juin 2005 sur le Tribunal fédéral, RS 173.110), un tel recours n'a plus d'effet suspensif en vertu de la loi. Au</w:t>
      </w:r>
    </w:p>
    <w:p>
      <w:r>
        <w:t>- 6 - contraire, en règle générale, un recours au Tribunal fédéral n'a pas d'effet suspensif (art. 103 al. 1 LTF). Il ne l'a que dans des hypothèses bien précises, mais pas en matière de droit public (cf. art. 103 al. 2 LTF). Ainsi, le jugement du Tribunal des assurances ne pouvait plus être attaqué par une voie ordinaire ayant un effet suspensif en vertu de la loi (cf. CPF, 15 avril 2010/168). Au surplus, la décision a été rendue dans une matière où une décision exécutoire devrait suffire, sans qu'il soit nécessaire qu'elle soit définitive. Ainsi, la décision du 12 mars 2004, réformée par le jugement du Tribunal fédéral des assurances du 16 octobre 2008, est exécutoire et est un titre suffisant à la mainlevée définitive. III. En définitive, le recours doit être admis et le prononcé attaqué réformé en ce sens que l’opposition est définitivement levée à concurrence de 24'202 fr. 40 sans intérêt. Les frais de première instance, par 360 fr., sont mis à la charge de la poursuivante. Le poursuivi doit payer à la poursuivante la somme de 360 fr. à titre de dépens de première instance. Les frais d’arrêt de la recourante sont fixés à 570 francs. L’intimé doit payer à la recourante la somme de 570 fr. à titre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