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KC09.024342 vom 17. Juni 2010</w:t>
      </w:r>
    </w:p>
    <w:p>
      <w:r>
        <w:t>VD Tribunal cantonal, 2010-06-17, FR</w:t>
      </w:r>
    </w:p>
    <w:p>
      <w:r>
        <w:rPr>
          <w:b/>
        </w:rPr>
        <w:t xml:space="preserve">Quelle: </w:t>
      </w:r>
      <w:r>
        <w:t>https://mcp.opencaselaw.ch/entscheid/vd_gerichte_KC09.024342</w:t>
      </w:r>
    </w:p>
    <w:p>
      <w:r>
        <w:t>FR: VD_GERICHTE KC09.024342 du 17 juin 2010</w:t>
      </w:r>
    </w:p>
    <w:p>
      <w:r>
        <w:t>IT: VD_GERICHTE KC09.024342 del 17 giugno 2010</w:t>
      </w:r>
    </w:p>
    <w:p>
      <w:pPr>
        <w:pStyle w:val="Heading2"/>
      </w:pPr>
      <w:r>
        <w:t>Erwägungen</w:t>
      </w:r>
    </w:p>
    <w:p>
      <w:r>
        <w:rPr>
          <w:b/>
        </w:rPr>
        <w:t>E. 28</w:t>
      </w:r>
    </w:p>
    <w:p>
      <w:r>
        <w:t>août 2009, par le Juge de paix du district de la Riviera-Pays-d’Enhaut, dans le cadre de la poursuite n° 5'041'513 de l’Office des poursuites de l’arrondissement de Vevey dirigée contre le recourant à la réquisition d’E.________ SA, à Lausanne. Vu les pièces au dossier, la cour considère : 107</w:t>
      </w:r>
    </w:p>
    <w:p>
      <w:r>
        <w:t>- 2 - En fait : 1. Le 19 mai 2009, l'Office des poursuites de l’arrondissement de Vevey a notifié à A.D.________, à la réquisition d’E.________ SA, un commandement de payer dans la poursuite en réalisation de gage immobilier n° 5'041'513 portant sur les sommes de 2’700'000 fr. plus intérêt à 10 % l’an dès le 18 avril 2009 et de 500'000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la parcelle désignée sous objet du gage. Montant dû au 17.04.2009, en capital, sur la cédule hypothécaire au porteur RF [...] remis en pleine propriété selon acte de transfert du 11.09.2006 et grevant en 2ème rang la parcelle désignée sous objet du gage. Ces titres garantissent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Désignation de l’immeuble : Parcelle RF [...], consistant en place-jardin et habitation d’une surface totale de 301 m2. Propriété en mains communes de Monsieur A.D.________ et Madame B.D.________». Le poursuivi a formé opposition totale. Le 30 juin 2009, la poursuivante a requis la mainlevée provisoire de l’opposition. A l’appui de sa requête, elle a produit, outre le commandement de payer précité, les pièces suivantes : - une convention de crédit-cadre conclue les 6 et 11 septembre 2006, sous n° de relation [...], par laquelle E.________ SA a accordé à A.D.________ et B.D.________, solidairement entre eux, une limite de crédit d’un montant maximum de 17'443'177 fr. pour le financement d’objets immobiliers ; le</w:t>
      </w:r>
    </w:p>
    <w:p>
      <w:r>
        <w:t>- 3 - contrat prévoyait notamment que l’utilisation de la limite de crédit se ferait sous forme d’hypothèque fixe d’un montant minimum de 1'000'000 fr. d’une durée de un à sept ans, que le décompte avec débit des intérêts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d’E.________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une cédule de 2'500'000 fr. grevant en 1er rang la parcelle [...], - deux cédules de 2'700'000 fr. et 500'000 fr. grevant respectivement en 1er et 2ème rang la parcelle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cet acte contient en particulier la disposition suivante : «10. Résiliation 10.1 Résiliation ordinaire Le preneur de crédit est en droit de résilier la présente convention de crédit à tout moment avec effet immédiat. E.________ SA est en droit de résilier la présente convention de crédit à tout moment avec effet immédiat ainsi que de refuser de mettre la limite de crédit à disposition, selon sa propre appréciation du cas d’espèce et sans indication de motifs.</w:t>
      </w:r>
    </w:p>
    <w:p>
      <w:r>
        <w:t>- 4 - La résiliation entraîne l’annulation immédiate de la part de la limite de crédit non utilisée. Dans la mesure où il a été fait usage de la limite, le remboursement des montants déjà utilisés est exigible comme suit : Hypothèque fixe E.________ SA 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E.________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E.________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E.________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E.________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 - un acte de transfert de propriété à fin de garantie, signé les mêmes jours par les preneurs de crédit A.D.________ et B.D.________, remettant à E.________ SA les cédules hypothécaires énumérées ci-dessus ; cet acte contient en particulier les stipulations suivantes :</w:t>
      </w:r>
    </w:p>
    <w:p>
      <w:r>
        <w:t>- 5 - «1. E.________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d’E.________ SA. 2. 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àE.________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E.________ SA aucune obligation dérivant de ces titres lorsqu’il/ils n’est/ne sont pas, dans le même temps, preneur(s) de crédit. 3. E.________ SA est en droit, plutôt que d’exiger l’exécution des créances de crédits devenues exigibles, de faire directement valoir les créances qu’incorporent les titres hypothécaires remis à titre de garantie. Dans un tel cas, E.________ SA est dispensée de dénoncer, par avis supplémentaire, les créances dérivant des titres (toute disposition cantonale impérative étant réservée). 4. Dès l’exigibilité, fut-elle seulement partielle, de l’une des créances résultant des crédits, E.________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E.________ SA pour se porter elle-même acquéreuse. Lorsque E.________ SA exerce son droit d’acheter elle-même les titres, les créances en capital et intérêts qu’ils incorporent deviennent exigibles dès l’acquisition des titres par E.________ SA sans qu’il soit besoin d’une dénonciation formelle (toute disposition cantonale impérative demeurant réservée). E.________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E.________ SA décide seule de l’ordre prioritaire dans lequel créances et titres seront amortis, ou réalisés. (…).» - une copie des cédules hypothécaires suivantes, accompagnées le cas échéant d’avis de reprise de dette par les seuls A.D.________ et B.D.________ ensuite d’une cession de parts indivises intervenue par acte</w:t>
      </w:r>
    </w:p>
    <w:p>
      <w:r>
        <w:t>- 6 - notarié [...] du 2 mai 2005, les autres cohéritiers cédants étant la veuve et les enfants de [...]: - cédules n° [...] de 3'500'000 fr., n° 1999/007701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poursuivi A.D.________ et Me [...], représentant de sa sœur B.D.________,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 contresignée par Me [...] et l’autre par le poursuivi personnellement qui a accompagné sa signature de diverses observations ; - une lettre de dénonciation de la relation n° [...] du 12 février 2009 ainsi libellée :</w:t>
      </w:r>
    </w:p>
    <w:p>
      <w:r>
        <w:t>- 7 -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A.D.________, Me [...] et le soussigné de gauche, il n’a pas été possible d’obtenir l’accord de Monsieur A.D.________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 (…).» - la copie de sept réquisitions de poursuite en réalisation de gage immobilier adressées le 21 avril 2009 à l’Office des poursuites de l’arrondissement de Vevey pour les six premières d’entre elles et à l’Office des poursuites de l’arrondissement de Montreux pour la dernière,</w:t>
      </w:r>
    </w:p>
    <w:p>
      <w:r>
        <w:t>- 8 - concernant les sept bien-fonds précités, la poursui-vante se prévalant des dix cédules hypothécaires énumérées ci-dessus, - une copie de l’acte notarié précité, datant du mois de mars 2005, par lequel les hoirs de [...] sont sortis de l’indivision de la succession de [...] ; l’art. 2 de cet acte prévoit que B.D.________ et A.D.________ sont dorénavant les seuls codébiteurs solidaires de l’ensemble des dettes considérées ainsi que des dettes incorporées dans les cédules hypothécaires précitées. 2. Par prononcé du 2 septembre 2009, rendu à la suite d’une audience tenue le 28 août 2009, le Juge de paix du district de la Riviera – Pays-d’Enhaut a prononcé la mainlevée provisoire de l’opposition à concurrence de 2’700'000 fr. plus intérêts au taux de 8 % l’an dès le 18 avril 2009 et de 500'000 fr. plus intérêts au taux de 10 % l’an dès le 18 avril 2009 (I), constaté l’existence du droit de gage (II), arrêté à 1’800 fr. les frais de justice de la partie poursuivante (III) et dit que le poursuivi devait verser à celle-ci la même somme à titre de dépens (IV). Le prononcé motivé a été adressé pour notification aux parties le 1er octobre 2009. Le poursuivi l’a reçu le 6 octobre 2009. Le premier juge a considéré en substance que les cédules hypothécaires invoquées à l’appui de la présente poursuite, remises en propriété aux fins de garantie à la poursuivante, constituaient bien des reconnaissances de dette pour les créances abstraites incorporées dans les cédules dont elle était titulaire et dont le poursuivi était le débiteur. D’après le premier juge, ces créances étaient exigibles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 d’hypothèques fixes qui n’avaient pas été produits, les dispositions sur la</w:t>
      </w:r>
    </w:p>
    <w:p>
      <w:r>
        <w:t>- 9 - résiliation extraordinaire du crédit cadre ne pouvant s’appliquer à défaut pour la poursuivante d’avoir établi la réalisation d’une des conditions prévues. 3. A.D.________ a recouru par acte du 15 octobre 2009, concluant, avec suite de frais et dépens, à l’annulation du prononcé attaqué (1), ainsi qu’à sa réforme en ce sens que la requête de mainlevée est rejetée et l’opposition confirmée (2.1), à ce qu’il soit constaté que la gérance légale n’a plus lieu d’être (2.2), et subsidiairement à la confirmation de l’opposition et au rejet de la mainlevée, dans la mesure que justice dira (3). Le recourant a déposé un mémoire ampliatif le 15 janvier 2010 ; il n’a développé que des moyens de réforme et n’a repris que les conclusions 2.1 et 2.2 de son acte de recours. L’intimée a produit un mémoire responsif le 12 avril 2010, concluant, avec suite de frais et dépens, au rejet du recours. En d roit : I. Le recours a été formé en temps utile, dans le délai de dix jours de l’art. 57 al. 1 LVLP. Le recourant n’a articulé aucun moyen de nullité dans son mémoire ampliatif, de sorte que son recours ne tend plus qu’à la réforme du prononcé entrepris (art. 465 al. 3 CPC applicable par renvoi de l’art. 58 al. 1 LVLP ; Poudret/ Haldy/Tappy, Procédure civile vaudoise, n. 2 ad art. 465 CPC). Il est recevable à ce titre (art. 461 ss CPC, applicables par renvoi de l’art. 58 LVLP). II. a) Le poursuivant dont la poursuite est frappée d’opposition peut, s’il se trouve au bénéfice d’une reconnaissance de dette, requérir la</w:t>
      </w:r>
    </w:p>
    <w:p>
      <w:r>
        <w:t>- 10 -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w:t>
      </w:r>
    </w:p>
    <w:p>
      <w:r>
        <w:rPr>
          <w:b/>
        </w:rPr>
        <w:t>E. 29</w:t>
      </w:r>
    </w:p>
    <w:p>
      <w:r>
        <w:t>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le créancier doit</w:t>
      </w:r>
    </w:p>
    <w:p>
      <w:r>
        <w:t>- 11 -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 7 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w:t>
      </w:r>
    </w:p>
    <w:p>
      <w:r>
        <w:t>- 12 -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les cédules hypothécaires invoquées à l’appui de la présente poursuite ont été établies le 11 septembre 1979, donc antérieurement à l’octroi de la convention de crédit-cadre des 6 et 11 septembre 2006 qui précise que ces cédules sont remises en garantie de prêts hypothécaires accordés au poursuivi et à sa codébitrice solidaire comme, du reste, le stipule l’acte de transfert de propriété à fin de garantie de ces cédules à la poursuivante. La créance abstraite n’a donc pas remplacé la créance causale, mais elle est venue la doubler aux fins d’en faciliter et d’en garantir le recouvrement. Dans le commandement de payer, la poursuivante s’est explicitement prévalu, à juste titre, des créances abstraites, seules à même de faire l’objet d’une poursuite en réalisation de gage immobilier, puisque seules assorties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w:t>
      </w:r>
    </w:p>
    <w:p>
      <w:r>
        <w:t>- 13 -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w:t>
      </w:r>
    </w:p>
    <w:p>
      <w:r>
        <w:t>- 14 - l’art. 931 al. 2 in fine CC ne s’applique dès lors pas (ATF 54 II 244 c. 2, JT 1929 I 117 ; TF 5C.11/2005 du 27 mai 2005 précité, c. 3.2.1). Dans le cas présent, la poursuivante, qui a la possession des cédules hypothécaires dont elle se dit propriétaire, est par conséquent présumée titulaire des droits incorporés dans ces titres. Elle peut en outre se prévaloir de l’acte de transfert de propriété à fin de garantie qui prévoit expressément qu’elle reçoit et acquiert la propriété de ces cédules.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w:t>
      </w:r>
    </w:p>
    <w:p>
      <w:r>
        <w:t>- 15 - (Denys, op. cit., p. 12 ; ATF 129 III 12 précité c. 2.5, JT 2003 II 35 et les réf. cit.). En l’espèce, le poursuivi s’est explicitement reconnu débiteur du montant nominal des titres hypothécaires dans l’acte de transfert de propriété à fin de garantie des 6 et 11 septembre 2006 ; en outre, la poursuivante a produit l’acte de sortie d’indivision successorale dans lequel le poursuivi s’est notamment reconnu débiteur de la dette incorporée dans les cédules hypothécaires produites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les cédules prévoient qu’elles peuvent être dénoncées en tout temps, moyennant un préavis donné six mois à l’avance. Cependant, l’acte de transfert de propriété à fin de garantie prévoit, à son chiffre 4, qu’E.________ SA est en droit d’exiger l’exécution</w:t>
      </w:r>
    </w:p>
    <w:p>
      <w:r>
        <w:t>- 16 - des créances hypothécaires constituées en garantie dès l’exigibilité, fût- elle seulement partielle, de l’une des créances résultant des crédits. En adoptant une telle clause, les parties ont, par une disposition particulière, dérogé à la clause figurant dans les cédules.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1er janvier 2009 au</w:t>
      </w:r>
    </w:p>
    <w:p>
      <w:r>
        <w:rPr>
          <w:b/>
        </w:rPr>
        <w:t>E. 31</w:t>
      </w:r>
    </w:p>
    <w:p>
      <w:r>
        <w:t>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w:t>
      </w:r>
    </w:p>
    <w:p>
      <w:r>
        <w:t>- 17 -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w:t>
      </w:r>
    </w:p>
    <w:p>
      <w:r>
        <w:t>- 18 -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w:t>
      </w:r>
    </w:p>
    <w:p>
      <w:r>
        <w:t>- 19 -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celles de 2’700'000 fr. et 500'000 fr. grevant la parcelle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w:t>
      </w:r>
    </w:p>
    <w:p>
      <w:r>
        <w:t>- 20 -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être partielle-ment admis et le prononcé entrepris réformé en ce sens que l’opposition formée par A.D.________ au commandement de payer n° 5'041'513 de l’Office des poursuites de Vevey, notifié à la réquisition d’E.________ SA, est provisoirement levée à concurrence de 2'700’000 fr., plus intérêt à 5 % l’an dès le 18 avril 2009, et de 500'000 fr., plus intérêt à 5 % l’an dès le 18 avril 2009, l’opposition étant maintenue pour le surplus. Les frais de première instance de la poursuivante sont fixés à 1’800 fr. et le poursuivi doit lui payer la même somme à titre de dépens de première instance.</w:t>
      </w:r>
    </w:p>
    <w:p>
      <w:r>
        <w:t>- 21 - Les frais de deuxième instance du recourant sont arrêtés à 2'625 fr. et l’intimée doit lui verser la somme de 520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