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KC09.022563 vom 17. Juni 2010</w:t>
      </w:r>
    </w:p>
    <w:p>
      <w:r>
        <w:t>VD Tribunal cantonal, 2010-06-17, FR</w:t>
      </w:r>
    </w:p>
    <w:p>
      <w:r>
        <w:rPr>
          <w:b/>
        </w:rPr>
        <w:t xml:space="preserve">Quelle: </w:t>
      </w:r>
      <w:r>
        <w:t>https://mcp.opencaselaw.ch/entscheid/vd_gerichte_KC09.022563</w:t>
      </w:r>
    </w:p>
    <w:p>
      <w:r>
        <w:t>FR: VD_GERICHTE KC09.022563 du 17 juin 2010</w:t>
      </w:r>
    </w:p>
    <w:p>
      <w:r>
        <w:t>IT: VD_GERICHTE KC09.022563 del 17 giugno 2010</w:t>
      </w:r>
    </w:p>
    <w:p>
      <w:pPr>
        <w:pStyle w:val="Heading2"/>
      </w:pPr>
      <w:r>
        <w:t>Erwägungen</w:t>
      </w:r>
    </w:p>
    <w:p>
      <w:r>
        <w:rPr>
          <w:b/>
        </w:rPr>
        <w:t>E. 1</w:t>
      </w:r>
    </w:p>
    <w:p>
      <w:r>
        <w:t>Le 9 juin 2009, l'Office des poursuites de l’arrondissement de Vevey a notifié à A.B.________, à la réquisition d’I.________ SA, un commandement de payer dans la poursuite en réalisation de gage immobilier n° 5'058’155 portant sur la somme de 219'300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les parcelles ci-dessous désignées. Ce titre garantit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Montant dû conjointement et solidairement avec Mme B.B.________. Désignation de l’immeuble : Parcelle PPE [...], consistant en un appartement de 5 pièces, local-galetas, cave et galetas constituant le lot No 5 du plan et représentant 194/1000 de la parcelle de base RF [...]. Parcelle PPE [...], consistant en un garage et une place de parc (no 11) et représentant 10/1000 de la parcelle de base RF [...]. Propriété en mains communes de Monsieur A.B.________ et Madame B.B.________. GERANCE LEGALE REQUISE. ». Le poursuivi a formé opposition totale. Le 23 juin 2009, la poursuivante a requis la mainlevée provisoire de l’opposition. A l’appui de sa requête, elle a produit, outre le commandement de payer précité, les pièces suivantes : - une convention de crédit-cadre conclue les 6 et 11 septembre 2006, sous n° de relation [...], par laquelle I.________ SA a accordé à A.B.________ et B.B.________, solidairement entre eux, une limite de crédit d’un montant maximum de 17'443'177 fr. pour le financement d’objets immobiliers ; le contrat prévoyait notamment que l’utilisation de la limite de crédit se</w:t>
      </w:r>
    </w:p>
    <w:p>
      <w:r>
        <w:t>- 3 - ferait sous forme d’hypothèque fixe d’un montant minimum de 1'000'000 fr. d’une durée de un à sept ans, que le décompte avec débit des intérêts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d’I.________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parcelle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cet acte contient en particulier la disposition suivante : «10. Résiliation 10.1 Résiliation ordinaire Le preneur de crédit est en droit de résilier la présente convention de crédit à tout moment avec effet immédiat. I.________ SA est en droit de résilier la présente convention de crédit à tout moment avec effet immédiat ainsi que de refuser de mettre la limite de crédit à disposition, selon sa propre appréciation du cas d’espèce et sans indication de motifs.</w:t>
      </w:r>
    </w:p>
    <w:p>
      <w:r>
        <w:t>- 4 - La résiliation entraîne l’annulation immédiate de la part de la limite de crédit non utilisée. Dans la mesure où il a été fait usage de la limite, le remboursement des montants déjà utilisés est exigible comme suit : Hypothèque fixe I.________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I.________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I.________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I.________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I.________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A.B.________ et B.B.________, remettant à I.________ SA les cédules hypothécaires énumérées ci-dessus ; cet acte contient en particulier les stipulations suivantes :</w:t>
      </w:r>
    </w:p>
    <w:p>
      <w:r>
        <w:t>- 5 - «1. I.________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d’I.________ SA.</w:t>
      </w:r>
    </w:p>
    <w:p>
      <w:r>
        <w:rPr>
          <w:b/>
        </w:rPr>
        <w:t>E. 2</w:t>
      </w:r>
    </w:p>
    <w:p>
      <w:r>
        <w:t>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I.________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I.________ SA aucune obligation dérivant de ces titres lorsqu’il/ils n’est/ne sont pas, dans le même temps, preneur(s) de crédit.</w:t>
      </w:r>
    </w:p>
    <w:p>
      <w:r>
        <w:rPr>
          <w:b/>
        </w:rPr>
        <w:t>E. 3</w:t>
      </w:r>
    </w:p>
    <w:p>
      <w:r>
        <w:t>I.________ SA est en droit, plutôt que d’exiger l’exécution des créances de crédits devenues exigibles, de faire directement valoir les créances qu’incorporent les titres hypothécaires remis à titre de garantie. Dans un tel cas, I.________ SA est dispensée de dénoncer, par avis supplémentaire, les créances dérivant des titres (toute disposition cantonale impérative étant réservée).</w:t>
      </w:r>
    </w:p>
    <w:p>
      <w:r>
        <w:rPr>
          <w:b/>
        </w:rPr>
        <w:t>E. 4</w:t>
      </w:r>
    </w:p>
    <w:p>
      <w:r>
        <w:t>Dès l’exigibilité, fut-elle seulement partielle, de l’une des créances résultant des crédits, I.________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I.________ SA pour se porter elle-même acquéreuse. Lorsque I.________ SA exerce son droit d’acheter elle-même les titres, les créances en capital et intérêts qu’ils incorporent deviennent exigibles dès l’acquisition des titres par I.________ SA sans qu’il soit besoin d’une dénonciation formelle (toute disposition cantonale impérative demeurant réservée). I.________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I.________ SA décide seule de l’ordre prioritaire dans lequel créances et titres seront amortis, ou réalisés. (…).» - une copie des cédules hypothécaires suivantes, accompagnées le cas échéant d’avis de reprise de dette par les seuls A.B.________ et B.B.________ ensuite d’une cession de parts indivises intervenue par acte</w:t>
      </w:r>
    </w:p>
    <w:p>
      <w:r>
        <w:t>- 6 -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A.B.________ et Me [...], représentant de sa sœur B.B.________,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w:t>
      </w:r>
    </w:p>
    <w:p>
      <w:r>
        <w:t>- 7 - - une lettre de dénonciation de la relation n° [...] du 12 février 2009 ainsi libellée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A.B.________, Me [...] et le soussigné de gauche, il n’a pas été possible d’obtenir l’accord de Monsieur A.B.________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w:t>
      </w:r>
    </w:p>
    <w:p>
      <w:r>
        <w:t>- 8 - l’arrondissement de Vevey pour les six premières d’entre elles et à l’Office des poursuites de l’arrondissement de Montreux pour la dernière, concernant les sept bien-fonds précités, la poursui-vante se prévalant des dix cédules hypothécaires énumérées ci-dessus, - une copie de l’acte notarié précité, datant du mois de mars 2005, par lequel les hoirs de [...] sont sortis de l’indivision de la succession de [...] ; l’art. 2 de cet acte prévoit que B.B.________ et A.B.________ sont dorénavant les seuls codébiteurs solidaires de l’ensemble des dettes considérées ainsi que des dettes incorporées dans les cédules hypothécaires précitées. 2. Par prononcé du 27 août 2009, rendu à la suite d’une audience tenue le 12 août 2009, le Juge de paix du district de la Riviera – Pays- d’Enhaut a prononcé la mainlevée provisoire de l’opposition à concurrence de 219’300 fr. plus intérêts au taux de 10 % l’an dès le 18 avril 2009 (I), constaté l’existence du droit de gage (II), arrêté à 660 fr. les frais de justice de la partie poursuivante (III) et dit que le poursuivi devait verser à celle-ci la même somme à titre de dépens (IV). Le prononcé motivé a été adressé pour notification aux parties le 30 décembre 2009. Le premier juge a considéré en substance que la cédule hypothécaire invoquée à l’appui de la présente poursuite, remise en propriété aux fins de garantie à la poursuivante, constituait bien une reconnaissance de dette pour la créance abstraite incorporée dans la cédule dont elle était titulaire et dont le poursuivi était le débiteur. D’après le premier juge, cette créance était exigible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 d’hypothèques fixes qui n’avaient pas été produits, les dispositions sur la</w:t>
      </w:r>
    </w:p>
    <w:p>
      <w:r>
        <w:t>- 9 - résiliation extraordinaire du crédit cadre ne pouvant s’appliquer à défaut pour la poursuivante d’avoir établi la réalisation d’une des conditions prévues. 3. A.B.________ a recouru par acte du 14 janvier 2010, concluant, avec suite de frais et dépens, à la réforme du prononcé attaqué en ce sens que la requête de mainlevée est rejetée et l’opposition confirmée et à ce qu’il soit constaté que la gérance légale n’a plus lieu d’être. Le recourant a déposé un mémoire ampliatif le 22 février 2010 ; il a confirmé les conclusions de son acte de recours. L’intimée a produit un mémoire responsif le 12 avril 2010, concluant, avec suite de frais et dépens, au rejet du recours. En d roit : I. Le prononcé de mainlevée a été notifié aux parties durant les féries de Noël (art. 56 ch. 2 LP), si bien que la notification n'a déployé ses effets qu'à partir du premier jour utile suivant la fin des féries (JT 1995 II 31 et réf. cit.), en l'occurrence le 4 janvier 2010, le 2 janvier étant un jour légalement férié et le 3 janvier 2010 un dimanche (art. 73 al. 1 LVLP). Le délai de recours n'a commencé à courir que le lendemain (JT 1995 II 31 précité), de sorte que le recours, déposé le 14 janvier 2010, a été formé en temps utile (art. 57 al. 1 LVLP). Le recours tend à la réforme du prononcé entrepris (art. 465 al. 3 CPC applicable par renvoi de l’art. 58 al. 1 LVLP ; Poudret/Haldy/Tappy, Procédure civile vaudoise, n. 2 ad art. 465</w:t>
      </w:r>
    </w:p>
    <w:p>
      <w:r>
        <w:t>- 10 - CPC). Il est recevable à ce titre (art. 461 ss CPC, applicables par renvoi de l’art. 58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w:t>
      </w:r>
    </w:p>
    <w:p>
      <w:r>
        <w:t>- 11 -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w:t>
      </w:r>
    </w:p>
    <w:p>
      <w:r>
        <w:t>- 12 -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25 juillet 1979,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w:t>
      </w:r>
    </w:p>
    <w:p>
      <w:r>
        <w:t>- 13 -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w:t>
      </w:r>
    </w:p>
    <w:p>
      <w:r>
        <w:t>- 14 -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w:t>
      </w:r>
    </w:p>
    <w:p>
      <w:r>
        <w:t>- 15 -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w:t>
      </w:r>
    </w:p>
    <w:p>
      <w:r>
        <w:t>- 16 - En l’espèce, la cédule prévoit qu’elle peut être dénoncée en tout temps, moyennant un préavis donné six mois à l’avance. Cependant, l’acte de transfert de propriété à fin de garantie prévoit, à son chiffre 4, qu’I.________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auquel s’ajoutaient les intérêts sur ce prêt du 1er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w:t>
      </w:r>
    </w:p>
    <w:p>
      <w:r>
        <w:t>- 17 -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w:t>
      </w:r>
    </w:p>
    <w:p>
      <w:r>
        <w:t>- 18 -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w:t>
      </w:r>
    </w:p>
    <w:p>
      <w:r>
        <w:t>- 19 -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219'300 fr. grevant en 1er rang les parts de propriété par étages [...], ont été remises à la poursuivante à titre fiduciaire pour garantir une série de prêts hypothécaires dans une limite de crédit maximum de 17'443'177 fr., selon la convention de crédit-cadre des 6 et 11 septembre 2006. Ainsi</w:t>
      </w:r>
    </w:p>
    <w:p>
      <w:r>
        <w:t>- 20 -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admis et le prononcé entrepris réformé en ce sens que l’opposition formée par A.B.________ au commandement de payer n° 5'058’155 de l’Office des poursuites de Vevey, notifié à la réquisition d’I.________ SA, est maintenue. Les frais de première instance de la poursuivante sont fixés à 660 fr. et il n’est pas alloué de dépens de première instance.</w:t>
      </w:r>
    </w:p>
    <w:p>
      <w:r>
        <w:t>- 21 - Les frais de deuxième instance du recourant sont arrêtés à 1'050 fr. et l’intimée doit lui verser la somme de 2’100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