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KC09.020388 vom 17. Juni 2010</w:t>
      </w:r>
    </w:p>
    <w:p>
      <w:r>
        <w:t>VD Tribunal cantonal, 2010-06-17, FR</w:t>
      </w:r>
    </w:p>
    <w:p>
      <w:r>
        <w:rPr>
          <w:b/>
        </w:rPr>
        <w:t xml:space="preserve">Quelle: </w:t>
      </w:r>
      <w:r>
        <w:t>https://mcp.opencaselaw.ch/entscheid/vd_gerichte_KC09.020388</w:t>
      </w:r>
    </w:p>
    <w:p>
      <w:r>
        <w:t>FR: VD_GERICHTE KC09.020388 du 17 juin 2010</w:t>
      </w:r>
    </w:p>
    <w:p>
      <w:r>
        <w:t>IT: VD_GERICHTE KC09.020388 del 17 giugno 2010</w:t>
      </w:r>
    </w:p>
    <w:p>
      <w:pPr>
        <w:pStyle w:val="Heading2"/>
      </w:pPr>
      <w:r>
        <w:t>Erwägungen</w:t>
      </w:r>
    </w:p>
    <w:p>
      <w:r>
        <w:rPr>
          <w:b/>
        </w:rPr>
        <w:t>E. 1</w:t>
      </w:r>
    </w:p>
    <w:p>
      <w:r>
        <w:t>Le 12 mars 2009, l'Office des poursuites et faillites de Vevey a notifié à A.K.________, à la réquisition d’A.________ SA, un commandement de payer dans la poursuite en réalisation de gage immobilier n° 541'196- 01, portant sur les sommes de 1'670’000 francs plus intérêt à 10 % l’an dès le 28 février 2009 (1) et de 6'374 fr. 25 plus intérêt à 5 % l’an dès le 5 mars 2009 (2). La cause de l’obligation invoquée et la désignation de l’immeuble étaient les suivantes : « Titre de la créance ou cause de l’obligation : 1) Montant dû sur le capital de la cédule hypothécaire RF [...] grevant en 1er rang à hauteur de 1'670'000 CHF la parcelle RF [...]. 2) Intérêts dus sur le capital de la cédule hypothécaire conformément au chiffre 2 de l’acte de «Transfert de propriété à fin de garantie» signé le 28.04.2004 par les preneurs de crédit. Le total des deux créances précitées correspond aux montants dus en capital, intérêts et frais sur les prêts hypothécaires n° [...] et [...] ainsi que sur le compte courant n° [...]. Créances dénoncées au remboursement le 26.11.2008 pour le 28.02.2009. Désignation de l’immeuble : Immeuble sis sur la Commune de [...], parcelle R.F. [...], habitation. Copropriété de M. A.K.________ et de Mme B.________, chacun pour une demie. » Le poursuivi a formé opposition totale. Le 15 mai 2009, la poursuivante a requis la mainlevée de l’opposition. A l’appui de sa requête, elle a produit, outre le commandement de payer précité, les pièces suivantes : - un contrat de prêt hypothécaire, en compte n° [...], d’un montant de 270'000 fr., pour la durée du 30 avril 2004 au 29 avril 2005 avec un taux d’intérêt de 2,75 % l’an, garanti notamment par des droits de gage immobilier d’au moins 270'000 fr., sans rang antérieur, grevant l’immeuble locatif [...], les preneurs de crédit étant A.K.________, B.________ et B.K.________,</w:t>
      </w:r>
    </w:p>
    <w:p>
      <w:r>
        <w:t>- 3 - - un contrat de prêt hypothécaire, en compte n° [...], d’un montant de 400'000 fr., pour la durée du 30 avril 2004 au 29 avril 2005 avec un taux d’intérêt de 3,75 % l’an, garanti notamment par des droits de gage immobilier d’au moins 400'000 fr., sans rang antérieur, grevant l’immeuble locatif [...], les preneurs de crédit étant A.K.________, B.________ et B.K.________, - un contrat de prêt hypothécaire, en compte n° [...], d’un montant de 1’000'000 fr., pour la durée du 30 avril 2004 au 30 avril 2009 avec un taux d’intérêt de 3,75 % l’an, garanti notamment par des droits de gage immobilier d’au moins 1’000'000 fr., sans rang antérieur, grevant l’immeuble locatif [...], les preneurs de crédit étant A.K.________, B.________ et B.K.________; au dos de ce contrat, comme des précédents, figurent les dispositions générales concernant l’hypothèque fixe A.________ SA qui prévoient en particulier ce qui suit au chapitre de la dénonciation : «Dénonciation par A.________ SA Si A.________ SA est disposée à consentir le présent crédit, elle se réserve toutefois le droit de procéder à la résiliation anticipée dudit crédit et de tout autre crédit éventuel, moyennant un préavis de 90 jours, s’il apparaît que : - le client est en retard dans le paiement des intérêts ou des amortissements convenus pour le remboursement du présent et d’autres crédits éventuels, y compris ceux d’autres créanciers. - selon A.________ SA, les immeubles mis en gage ont perdu de leur valeur et n’offrent plus une couverture suffisante. - selon A.________ SA, la situation financière et/ou le niveau des revenus du client se sont détériorés ou qu’une telle évolution est à prévoir. - des mesures (telles que l’application de réserves minimales obligatoires, l’augmentation des exigences en matière de fonds propres) prises par la Banque Nationale ou d’autres autorités entraînent une augmentation des coûts du crédit. Tout acquéreur de ce crédit peut faire valoir les mêmes motifs de résiliation qu’A.________ SA.» - une copie d’une cédule hypothécaire au porteur, n° [...], d’un montant de 1'670'000 fr., grevant en premier rang la parcelle [...]; le taux maximal de l’intérêt inscrit au registre foncier est de 10 % l’an ; la cédule peut être</w:t>
      </w:r>
    </w:p>
    <w:p>
      <w:r>
        <w:t>- 4 - dénoncée au remboursement total ou partiel en tout temps moyennant un préavis de six mois ; la cédule n’indique pas le nom de son débiteur, - un acte de transfert de propriété à fin de garantie, signé le 28 avril 2004 sur formule de la poursuivante, par lequel les preneurs de crédit A.K.________, B.________ et B.K.________ lui ont remis la cédule hypothécaire précitée; cet acte contient en particulier les stipulations suivantes : «1. A.________ SA reçoit et acquiert la propriété des cédules et obligations hypothécaires (ci-après les titres hypothécaires) mentionnées dans le présent acte. Les titres hypothécaires sont remis à la banque en propriété fiduciaire aux fins de garantir l’exécution de toutes créances (en capital, intérêts, commissions et frais etc – ci-après les créances résultant ou issues des crédits), issues des contrats que le/les preneur(s) de crédit a/ont conclus, ou viendra ultérieurement à conclure, dans le cadre des relations d’affaires déjà existantes, avec l’une ou l’autre des succursales d’A.________ SA.</w:t>
      </w:r>
    </w:p>
    <w:p>
      <w:r>
        <w:rPr>
          <w:b/>
        </w:rPr>
        <w:t>E. 2</w:t>
      </w:r>
    </w:p>
    <w:p>
      <w:r>
        <w:t>Le/Les preneur(s) de crédit déclare/déclarent, pour le cas où les titres hypothécaires transférés à titre de sûreté ne le désignent pas comme débiteur, reprendre les dettes que constatent ces mêmes titres hypothécaires. Le/Les preneur(s) de crédit reconnaît/reconnaissent ainsi devoir à A.________ SA le montant nominal de chaque titre hypothécaire ainsi que – sans égard à d’éventuelles clauses contraires figurant dans les titres – les intérêts courants et les intérêts échus de trois années au taux de 10 % l’an, aux échéances des 30 juin et 31 décembre. Lorsqu’ils sont plusieurs, les débiteurs des titres répondent solidairement des engagements en découlant. Celui/Ceux que les titres remis en garantie désignent comme débiteur n’assume/assument toutefois envers A.________ SA aucune obligation dérivant de ces titres lorsqu’il/ils n’est/ne sont pas, dans le même temps, preneur(s) de crédit.</w:t>
      </w:r>
    </w:p>
    <w:p>
      <w:r>
        <w:rPr>
          <w:b/>
        </w:rPr>
        <w:t>E. 3</w:t>
      </w:r>
    </w:p>
    <w:p>
      <w:r>
        <w:t>A.________ SA est en droit, plutôt que d’exiger l’exécution des créances de crédits devenues exigibles, de faire directement valoir les créances qu’incorporent les titres hypothécaires remis à titre de garantie. Dans un tel cas, A.________ SA est dispensée de dénoncer, par avis supplémentaire, les créances dérivant des titres (toute disposition cantonale impérative étant réservée).</w:t>
      </w:r>
    </w:p>
    <w:p>
      <w:r>
        <w:rPr>
          <w:b/>
        </w:rPr>
        <w:t>E. 4</w:t>
      </w:r>
    </w:p>
    <w:p>
      <w:r>
        <w:t>Dès l’exigibilité, fut-elle seulement partielle, de l’une des créances résultant des crédits, A.________ SA est en droit d’exiger l’exécution des créances hypothécaires constituées en garantie et, pour atteindre ce but, de requérir soit une poursuite ordinaire par voie de saisie ou de faillite, soit une poursuite en réalisation de gage immobilier, soit encore une vente de gré à gré des titres hypothécaires, toute faculté étant dans ce dernier cas accordée à A.________ SA pour se porter elle-même acquéreuse. Lorsque A.________ SA exerce son droit d’acheter elle-même les titres, les créances en capital et intérêts qu’ils incorporent deviennent exigibles dès l’acquisition des titres par A.________ SA sans qu’il soit besoin d’une dénonciation formelle (toute disposition cantonale impérative demeurant réservée). A.________ SA conserve en outre la liberté d’exiger la réalisation des titres ou du/des immeuble(s) grevé(s) et sans perdre pour cela aucun de ses droits sur les titres constitués en garantie, de procéder au remboursement direct de tout ou</w:t>
      </w:r>
    </w:p>
    <w:p>
      <w:r>
        <w:t>- 5 - partie de ses créances de crédit devenues exigibles au moyen d’une poursuite ordinaire par voie de saisie ou de faillite. En cas de pluralité de créances de crédits et de titres hypothécaires, A.________ SA décide seule de l’ordre prioritaire dans lequel créances et titres seront amortis, ou réalisés. (…).». - une copie d’une lettre adressée le 18 avril 2008 au précédent conseil du poursuivi précisant la situation des prêts en cours, soit 1'028'581 fr. 85 pour le prêt [...], 270'000 fr. pour le prêt [...] et 323'031 fr. 80 pour le prêt [...], soit au total 1'621'613 fr. 65, rappelant que les deux derniers prêts étaient échus et exigibles, qu’au regard de l’évolution du marché le taux de l’intérêt serait porté à 4 % pour le prêt [...] dès le 1er mai suivant et mentionnant qu’elle patienterait jusqu’au 31 juillet 2008 pour le paiement des arriérés d’intérêts et d’amortissements qui s’éleveraient alors à 76'863 fr. 65, - une copie d’une lettre adressée le 26 novembre 2008 aux représentants de A.K.________, de B.________ et de la succession de B.K.________ dans la relation n° [...] résiliant pour le 28 février 2009 les trois prêts ainsi que le compte courant, présentant le décompte des créances au 28 février 2009 pour un total s’élevant à 1'676'374 fr. 25 et dénonçant au remboursement pour le 28 février 2009 également le capital incorporé dans la cédule hypothécaire n° [...] grevant en premier rang la parcelle [...] qui lui avait été remise en pleine propriété en garantie des prêts, - la copie de la réquisition de poursuite adressée 5 mars 2009 à l’Office des poursuites de Vevey, - les copies des commandements de payer notifiés aux codébitrices solidaires B.________ et succession de B.K.________, - une copie de l’acte notarié de vente à terme et droit d’emption par laquelle les époux A.K.________ et B.________ ont acquis en 2004 pour le prix de 2'570'000 fr. des époux [...] la [...], ainsi qu’une copie de la réquisition de transfert adressée au Conservateur du Registre foncier du district de Vevey,</w:t>
      </w:r>
    </w:p>
    <w:p>
      <w:r>
        <w:t>- 6 - - une copie de la déclaration notariale, datée du 28 avril 2004, d’instrumentation de la cédule hypothécaire précitée indiquant que les débiteurs solidaires de la cédule sont A.K.________ et B.________ qui chargent les notaires de la remettre le plus tôt possible à A.________ SA, document contresigné par lesdits débiteurs. 2. Par décision du 27 août 2009, le Juge de paix du district de la Riviera – Pays-d’Enhaut a prononcé la mainlevée provisoire de l’opposition à concurrence de 1'670'000 fr., plus intérêt à 4 % l’an dès le 28 février 2009, et de 6'374 fr. 25, plus intérêt à 5 % l’an dès le 5 mars 2009 (I), arrêté à 1’800 fr. les frais de justice de la partie poursuivante (II) et dit que le poursuivi devait verser à celle-ci la même somme à titre de dépens (III). Par prononcé rectificatif du 28 août 2009, annulant et remplaçant celui du 27 août 2009, le juge de paix a repris le dispositif de la veille auquel il a ajouté un chiffre II par lequel il a constaté l’existence du droit de gage. Le prononcé motivé a été adressé pour notification aux parties le</w:t>
      </w:r>
    </w:p>
    <w:p>
      <w:r>
        <w:rPr>
          <w:b/>
        </w:rPr>
        <w:t>E. 9</w:t>
      </w:r>
    </w:p>
    <w:p>
      <w:r>
        <w:t>octobre 2009. Le poursuivi l’a reçu le 12 octobre 2009. Le premier juge a considéré en substance que la cédule hypothécaire remise en propriété aux fins de garantie à la poursuivante constituait bien une reconnaissance de dette pour la créance abstraite incorporée dans la cédule dont elle était titulaire et dont le poursuivi était le débiteur, que cette créance était exigible au jour du dépôt de la réquisition de poursuite mais qu’en revanche, en vertu du pactum de non petendo qu’a impliqué le transfert de propriété à fin de garantie, la poursuivante ne pouvait pas réclamer un intérêt supérieur à celui applicable à la créance causale. 3. A.K.________ a recouru par acte du 15 octobre 2009, concluant, avec suite de frais et dépens, à l’annulation du prononcé attaqué (1), ainsi qu’à sa réforme en ce sens que la requête de mainlevée est rejetée et</w:t>
      </w:r>
    </w:p>
    <w:p>
      <w:r>
        <w:t>- 7 - l’opposition confirmée (2.1), à ce qu’il soit constaté que la gérance légale n’a plus lieu d’être (2.2), et subsidiairement à la confirmation de l’opposition et au rejet de la mainlevée, dans la mesure que justice dira (3). Le même jour, A.________ SA a aussi recouru, concluant, avec suite de frais et dépens, à la réforme du chiffre I du prononcé entrepris en ce sens que la mainlevée provisoire de l’opposition est prononcée à concurrence de 1'670'000 fr. plus intérêts au taux de 10 % l’an dès le 28 février 2009 et de 6'374 fr. 25 plus intérêts au taux de 5 % l’an dès le 5 mars 2009. Pour son recours, A.K.________ a déposé un mémoire ampliatif le 15 janvier 2010 ; il n’a développé que des moyens de réforme et n’a repris que les conclusions 2.1 et 2.2 de son acte de recours. L’intimée a produit un mémoire responsif le 12 avril 2010. A.________ SA a déposé un mémoire ampliatif à la suite de son recours le 7 décembre 2009 et l’intimé a produit un mémoire responsif le 8 mars 2010. En d roit : I. Tant le recours déposé par le poursuivi que celui formé par la poursuivante l’ont été en temps utile, dans le délai de dix jours de l’art. 57 al. 1 LVLP. Le recourant n’a articulé aucun moyen de nullité dans son mémoire ampliatif, de sorte que son recours ne tend plus qu’à la réforme du prononcé entrepris (art. 465 al. 3 CPC applicable par renvoi de l’art. 58 al. 1 LVLP; Poudret/Haldy/Tappy, Procédure civile vaudoise, n. 2 ad art. 465 CPC). Il est recevable à ce titre comme l’est celui de la recourante (art. 461 ss CPC, applicables par renvoi de l’art. 58 LVLP).</w:t>
      </w:r>
    </w:p>
    <w:p>
      <w:r>
        <w:t>- 8 -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Dans une poursuite en réalisation de gage immobilier, la cédule hypothécaire – comme la lettre de rente – est une reconnaissance de dette abstraite et un titre à la mainlevée provisoire de l’opposition que ce soit la prétention déduite en poursuite et/ou le droit de gage allégué qui soient contestés, mais pour autant que la créance hypothécaire ait été dénoncée au remboursement conformément à l’art. 844 CC (Gilliéron, op. cit., n. 64 ad art. 82 LP). Contrairement aux poursuites ordinaires, une poursuite en réalisation de gage immobilier se continue par la réalisation</w:t>
      </w:r>
    </w:p>
    <w:p>
      <w:r>
        <w:t>- 9 - du gage et non par la saisie ou la faillite du poursuivi (art. 41 al. 1 et 154 LP). Ainsi, pour pouvoir obtenir la mainlevée de l’opposition qui porte tant sur la créance que sur le droit de gage (art. 85 ORFI),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 Jaques, Exécution forcée spéciales des cédules hypothécaires, in BlSchK 2001, pp. 201 ss, p. 207 et les références citées à la note infrapaginale n. 25 ; CPF, 7 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w:t>
      </w:r>
    </w:p>
    <w:p>
      <w:r>
        <w:t>- 10 -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la cédule hypothécaire ayant été créée le 28 avril 2004, simultanément à l’octroi des prêts hypothécaires accordés au poursuivi et à ses codébitrices solidaires qui précisent tous qu’ils sont garantis par des droits de gage immobiliers et à la signature d’un acte de transfert de cette cédule à fin de garantie à la poursuivante. La créance abstraite n’a donc pas remplacé les créances causales, mais elle est venue les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w:t>
      </w:r>
    </w:p>
    <w:p>
      <w:r>
        <w:t>- 11 -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 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w:t>
      </w:r>
    </w:p>
    <w:p>
      <w:r>
        <w:t>- 12 - l’art. 931 al. 2 in fine CC ne s’applique dès lors pas (ATF 54 II 244 c. 2, JT 1929 I 117 ; TF 5C.11/2005 du 27 mai 2005 précité, c. 3.2.1). Dans le cas présent, la poursuivante, qui a la possession de la cédule hypothécaire dont elle se dit propriétaire, est par conséquent présumée titulaire des droits incorporés dans ce titre. Elle peut du reste en outre se prévaloir de l’acte de transfert de propriété à fin de garantie qui prévoit expressément qu’elle reçoit et acquiert la propriété de cette cédule.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w:t>
      </w:r>
    </w:p>
    <w:p>
      <w:r>
        <w:t>- 13 - Si la cédule ne comporte pas l’indication d’un débiteur, le créancier ne pourra obtenir de même la mainlevée provisoire que s’il produit en plus de la cédule, une copie légalisée de la pièce justificative contenant l’engagement du débiteur (Denys, op. cit., p. 12 ; ATF 129 III 12 précité c. 2.5, JT 2003 II 35 et les réf. cit.). En l’espèce, le poursuivi s’est explicitement reconnu débiteur du montant nominal du titre hypothécaire dans l’acte de transfert de propriété à fin de garantie du 28 avril 2004 et a contresigné la déclaration d’instrumentation notariale mentionnant qu’il était le codébiteur de la cédule qui ne mentionnait pas son nom. Cette déclaration répond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la cédule prévoit qu’elle peut être dénoncée en tout temps, moyennant un préavis donné six mois à l’avance. Cependant,</w:t>
      </w:r>
    </w:p>
    <w:p>
      <w:r>
        <w:t>- 14 - l’acte de transfert de propriété à fin de garantie prévoit, à son chiffre 4, qu’A.________ SA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la cédule. Certes, à défaut d’être indiquée au registre foncier, une telle convention dérogatoire n’est pas opposable au tiers acquéreur de la cédule (Steinauer, op. cit., n. 2943a, p. 320), mais elle n’en reste pas moins valable entre parties (Staehelin, Basler Kommentar, n. 9 ad art. 858 CC; ATF 123 III 97, JT 1998 I 57). Par lettre du 26 novembre 2008, la poursuivante a notamment dénoncé au remboursement cette cédule pour le 28 février 2009, alors que deux des trois prêts hypothécaires étaient exigibles depuis le 29 avril 2005. En vertu de la clause conventionnelle précitée, la poursuivante pouvait ainsi réclamer la créance abstraite, valablement dénoncée. Au surplus, le troisième prêt hypothécaire a également été dénoncé pour le 28 février 2009, alors que le poursuivi était en retard dans le paiement des intérêts et amortissements convenus, selon lettre à son conseil du 18 avril 2008, même si, s’agissant d’un acte soumis à réception, le respect au 28 février 2009 du délai de 90 jours prévu contractuellement paraît délicat à établir. Quoi qu’il en soit, ce délai a été respecté lorsque la poursuivante a requis, le 5 mars 2009, la poursuite.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w:t>
      </w:r>
    </w:p>
    <w:p>
      <w:r>
        <w:t>- 15 - la créance incorporée dans la cédule (cf.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 delà de ce que requiert son désinteréssement : ainsi, par exemple, le fiduciaire a l’obligation de retransférer la propriété de la cédule au fiduciaire s’il est désintéressé, ce qui implique qu’il ne doit pas l’aliéner à un tiers dans l’intervalle (Foëx, op. cit., p. 124; Steinauer, op. cit., n. 3054c, pp. 383-384).</w:t>
      </w:r>
    </w:p>
    <w:p>
      <w:r>
        <w:t>- 16 - Lorsque le bien cédé en garantie est une cédule hypothécaire, la convention fiduciaire oblige le créancier à ne pas faire usage des créances incorporées, c’est-à-dire à ne pas en poursuivre le paiement, au- 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w:t>
      </w:r>
    </w:p>
    <w:p>
      <w:r>
        <w:t>- 17 - cédule ainsi que les intérêts couverts par le droit de gage au sens de l’art. 818 al. 1 ch. 3 CC;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la cédule hypothécaire a été remise à la poursuivante à titre fiduciaire pour garantir trois prêts hypothécaires dont le total ascendait à 1'670'000 fr., soit le capital de la créance cédulaire. Au 28 février 2009, la dette résultant de ces trois hypothécaires se montait à 1'676'374 fr. 25, selon courrier du 26 novembre 2008, soit une somme très légèrement supérieure au capital de la créance abstraite, mais inférieure au montant maximal couvert par le gage immobilier (soit avec les intérêts sur la cédule). On se trouve ainsi dans la troisième hypothèse relatée ci-dessus et, comme l’a vu à juste titre le premier juge, les intérêts conventionnels dus pour la cédule doivent être réduits afin que la poursuivante ne puisse réclamer plus que sa créance effective. g) Le premier juge a arrêté à 4 % l’an le taux de l’intérêt portant sur le capital de 1'670'000 fr., considérant qu’il s’agissait du taux applicable au seul contrat de prêt encore en vigueur au moment de la résiliation. Cependant, par le courrier du 26 novembre 2008, la poursuivante ne résiliait pas seulement les prêts et la cédule hypothécaire pour l’échéance du 28 février 2009, elle mettait encore en demeure le poursuivi de payer intégralement la somme de 1'676'374 fr. 25 au 28 février 2009. Par conséquent, dès cette date, le poursuivi était en demeure et devait dès lors un intérêt (moratoire) sur la créance causale dont le taux ne pouvait être inférieur à 5 % l’an, conformément à l’art. 104 al. 1 CO (Thévenoz, Commentaire romand, n. 14 ad art. 104 CO). Enfin,</w:t>
      </w:r>
    </w:p>
    <w:p>
      <w:r>
        <w:t>- 18 - l’intérêt moratoire ne peut courir que dès le lendemain du délai fixé au poursuivi pour s’acquitter de l’intégralité de la dette, soit dès le 1er mars 2009. La poursuivante se prévaut d’un arrêt non publié du Tribunal fédéral rendu il y a près de dix ans dans une affaire genevoise où notre haute cour avait jugé arbitraire le raisonnement des juges genevois qui avaient appliqué le taux légal de l’art. 73 CO en lieu et place de l’intérêt conclu conventionnellement qui se référait au taux maximal mentionné sur la cédule et inscrit au registre foncier. Cependant, dans cette décision, il n’est pas fait allusion au pacte de non petendo et on ne connaît pas le montant de la créance causale, de sorte qu’il est impossible de savoir dans laquelle des trois hypothèses mentionnée plus haut la banque se trouvait. En outre, depuis lors, le Tribunal fédéral a mentionné que la personne poursuivie pouvait se prévaloir du fait que le prêt soit d’un montant inférieur à une cédule (TF 5A_303/2009 c. 3.5 in fine). III. Par conséquent, le recours de A.K.________ doit être rejeté et le recours d’A.________ SA admis partiellement, le prononcé étant réformé en ce sens que l’opposition est provisoirement levée à concurrence des sommes de 1'670'000 fr. plus intérêt à 5 % l’an dès le 1er mars 2009 et de 6'374 fr. 25 plus intérêt à 5 % l’an dès le 5 mars 2009. Il n’y a pas lieu de modifier les frais et dépens de première instance. Les frais de deuxième instance sont arrêtés à 1'825 fr. pour le recourant A.K.________ et à 900 fr. pour la recourante A.________ SA. A.________ SA a droit à des dépens réduits d’un cinquième, de pleins dépens valant 2'500 francs.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