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KC08.032112 vom 30. Juni 2009</w:t>
      </w:r>
    </w:p>
    <w:p>
      <w:r>
        <w:t>VD Tribunal cantonal, 2009-06-30, FR</w:t>
      </w:r>
    </w:p>
    <w:p>
      <w:r>
        <w:rPr>
          <w:b/>
        </w:rPr>
        <w:t xml:space="preserve">Quelle: </w:t>
      </w:r>
      <w:r>
        <w:t>https://mcp.opencaselaw.ch/entscheid/vd_gerichte_KC08.032112</w:t>
      </w:r>
    </w:p>
    <w:p>
      <w:r>
        <w:t>FR: VD_GERICHTE KC08.032112 du 30 juin 2009</w:t>
      </w:r>
    </w:p>
    <w:p>
      <w:r>
        <w:t>IT: VD_GERICHTE KC08.032112 del 30 giugno 2009</w:t>
      </w:r>
    </w:p>
    <w:p>
      <w:pPr>
        <w:pStyle w:val="Heading2"/>
      </w:pPr>
      <w:r>
        <w:t>Erwägungen</w:t>
      </w:r>
    </w:p>
    <w:p>
      <w:r>
        <w:rPr>
          <w:b/>
        </w:rPr>
        <w:t>E. 29</w:t>
      </w:r>
    </w:p>
    <w:p>
      <w:r>
        <w:t>ad art. 82 LP), qu’une reconnaissance de dette peut résulter du rapprochement de plusieurs pièces, à condition que les pièces déterminantes pour la fixation du montant dû par le poursuivi portent la signature de ce dernier (Panchaud/ Caprez, La mainlevée d’opposition, § 6 ; ATF 106 III 97 ; CPF, 26 septembre 2006/ 540 ; CPF, 12 mars 2003/225),</w:t>
      </w:r>
    </w:p>
    <w:p>
      <w:r>
        <w:t>- 4 - qu'un ensemble de pièces ne peut valoir titre de mainlevée qu'à la condition que, par sa signature, le poursuivi admette la dette dans son principe et sa quotité (Panchaud/Caprez, op. cit., § 6 n. 2 et 8), que le Tribunal fédéral a rappelé qu'une certaine rigueur dans les conditions posées à l'admission d'une reconnaissance de dette ne relevait en rien d'un formalisme excessif, la procédure de mainlevée étant, par nature, formaliste, en particulier lorsque ce titre de mainlevée résultait du rapprochement de plusieurs pièces (TF 5P_259/2002 du 16 octobre 2002 c. 3.2 in fine ad CPF, 17 juin 2002/223), qu'en l'espèce, la poursuivante se prévaut d'une convention relative à la fourniture de carburants sur laquelle figure la signature de la poursuivie mais aucun montant que celle-ci aurait accepté de payer, qu’elle ne dispose d'aucune autre pièce signée par la poursuivie sur laquelle celle-ci se reconnaîtrait débitrice d'une somme déterminée, qu’en particulier, les factures et rappels produits ne comportent aucune signature, que dans ces conditions, mêmes rapprochées, les pièces produites par la poursuivante ne sauraient constituer un titre de mainlevée au sens de l’article 82 LP, que c’est donc à juste titre que le premier juge a refusé de prononcer la mainlevée, que le recours doit ainsi être rejeté en application de l’art. 465 al. 1 CPC et le prononcé entrepris confirmé ; considérant que les frais de deuxième instance doivent être mis à la charge de la recourante.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