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JZ10.026405 vom 21. September 2010</w:t>
      </w:r>
    </w:p>
    <w:p>
      <w:r>
        <w:t>VD Tribunal cantonal, 2010-09-21, FR</w:t>
      </w:r>
    </w:p>
    <w:p>
      <w:r>
        <w:rPr>
          <w:b/>
        </w:rPr>
        <w:t xml:space="preserve">Quelle: </w:t>
      </w:r>
      <w:r>
        <w:t>https://mcp.opencaselaw.ch/entscheid/vd_gerichte_JZ10.026405</w:t>
      </w:r>
    </w:p>
    <w:p>
      <w:r>
        <w:t>FR: VD_GERICHTE JZ10.026405 du 21 septembre 2010</w:t>
      </w:r>
    </w:p>
    <w:p>
      <w:r>
        <w:t>IT: VD_GERICHTE JZ10.026405 del 21 settembre 2010</w:t>
      </w:r>
    </w:p>
    <w:p>
      <w:pPr>
        <w:pStyle w:val="Heading2"/>
      </w:pPr>
      <w:r>
        <w:t>Erwägungen</w:t>
      </w:r>
    </w:p>
    <w:p>
      <w:r>
        <w:rPr>
          <w:b/>
        </w:rPr>
        <w:t>E. 1</w:t>
      </w:r>
    </w:p>
    <w:p>
      <w:r>
        <w:t>Le recours au Tribunal cantonal est ouvert contre la décision du juge de paix interdisant à un étranger de pénétrer dans une région déterminée (art. 74 al. 3 LEtr [loi fédérale du 16 décembre 2005 sur les</w:t>
      </w:r>
    </w:p>
    <w:p>
      <w:r>
        <w:t>- 4 - étrangers; RS 142.20]; art. 30 LVLEtr [loi du 18 décembre 2007 d'application dans le Canton de Vaud de la LEtr; RSV 142.1]). Il est de la compétence de la seconde Chambre des recours (art. 71 et 73 LOJV [loi d’organisation judiciaire du 12 décembre 1979; RSV 173.01] et art. 20 al.</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Le Juge de paix du district de Lausanne, compétent selon l’art. 13 al. 1 LVLEtr, a procédé à l’audition du recourant lors de son audience du 19 août 2010 (art. 21 al. 1 LVLEtr). Le procès-verbal de cette audition faisant défaut dans le dossier, il n’est pas établi que le recourant a été informé de la faculté de demander la désignation d’un conseil d’office. Une telle communication n’est cependant prescrite par l’art. 24 al. 2 LVLEtr qu’en cas de détention. Le juge de paix a notifié l'ordonnance attaquée le même jour, par écrit, en mentionnant l'autorité, les formes et le délai de recours (art. 21 al. 4 LVLEtr). La procédure suivie est régulière.</w:t>
      </w:r>
    </w:p>
    <w:p>
      <w:r>
        <w:rPr>
          <w:b/>
        </w:rPr>
        <w:t>E. 4</w:t>
      </w:r>
    </w:p>
    <w:p>
      <w:r>
        <w:t>Le recourant fait valoir qu'il doit se rendre régulièrement au CHUV pour des problèmes de santé et qu'il attend une date pour une</w:t>
      </w:r>
    </w:p>
    <w:p>
      <w:r>
        <w:t>- 5 - opération lourde nécessitant un suivi opératoire de longue durée, ainsi qu'une rééducation. Selon l'article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n'est pas titulaire d'une autorisation de séjour. Il a été interpellé à Lausanne à plusieurs reprises alors qu'il acquérait de la marijuana en quantités non négligeables et en des lieux connus de la police pour abriter le trafic de stupéfiants. Il a en outre</w:t>
      </w:r>
    </w:p>
    <w:p>
      <w:r>
        <w:t>- 6 - également été interpellé alors qu'il assistait passivement à une transaction de cocaïne, soit alors qu'il accompagnait le vendeur. Les conditions d'application de l'art. 74 al. 1 let. a LEtr sont donc réalisées. Quant aux soins médicaux qui devraient être apportés au recourant à Lausanne, il y a lieu de relever qu'il pourra demander des sauf-conduits au SPOP pour se rendre à ces rendez-vous, autorisations qu'il obtiendra sur la base de justificatifs. Pour le surplus, il y a un intérêt public certain à contrôler le trafic de stupéfiants à Lausanne et à éviter que le recourant ne s'y livre. La mesure litigieuse s'avère dès lors proportionnée.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w:t>
      </w:r>
    </w:p>
    <w:p>
      <w:r>
        <w:t>- 7 - Le président : Le greffier : Du 21 septembre 2010 Le dispositif de l'arrêt qui précède est communiqué par écrit aux intéressés. Le greffier : Du L'arrêt qui précède, dont la rédaction a été approuvée à huis clos, est notifié en expédition complète, par l'envoi de photocopies, à : - M. D.________, - SPOP,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- 8 - Cet arrêt est communiqué, par l'envoi de photocopies, à : - Mme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