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JY17.018946 vom 7. Juni 2017</w:t>
      </w:r>
    </w:p>
    <w:p>
      <w:r>
        <w:t>VD Tribunal cantonal, 2017-06-07, FR</w:t>
      </w:r>
    </w:p>
    <w:p>
      <w:r>
        <w:rPr>
          <w:b/>
        </w:rPr>
        <w:t xml:space="preserve">Quelle: </w:t>
      </w:r>
      <w:r>
        <w:t>https://mcp.opencaselaw.ch/entscheid/vd_gerichte_JY17.018946</w:t>
      </w:r>
    </w:p>
    <w:p>
      <w:r>
        <w:t>FR: VD_GERICHTE JY17.018946 du 7 juin 2017</w:t>
      </w:r>
    </w:p>
    <w:p>
      <w:r>
        <w:t>IT: VD_GERICHTE JY17.018946 del 7 giugno 2017</w:t>
      </w:r>
    </w:p>
    <w:p>
      <w:pPr>
        <w:pStyle w:val="Heading2"/>
      </w:pPr>
      <w:r>
        <w:t>Erwägungen</w:t>
      </w:r>
    </w:p>
    <w:p>
      <w:r>
        <w:rPr>
          <w:b/>
        </w:rPr>
        <w:t>E. 1</w:t>
      </w:r>
    </w:p>
    <w:p>
      <w:r>
        <w:t>I.________, né le [...] 1995, est originaire du [...]. Il est célibataire et n’a pas d’enfant.</w:t>
      </w:r>
    </w:p>
    <w:p>
      <w:r>
        <w:rPr>
          <w:b/>
        </w:rPr>
        <w:t>E. 2</w:t>
      </w:r>
    </w:p>
    <w:p>
      <w:r>
        <w:t>Le 3 septembre 2015, il a déposé une demande d’asile en Suisse. Par décision du 15 décembre 2015, le Secrétariat d’Etat aux migrations (ci-après : SEM) a décidé de ne pas entrer en matière sur la demande d’asile d’I.________ et de le renvoyer de Suisse vers le [...] dans un délai fixé au 9 février 2016, à défaut de quoi il s’exposerait à des moyens de contrainte. Cette décision a été confirmée par arrêt du Tribunal administratif fédéral du 15 février 2016. La Haute cour a notamment relevé que le renvoi d’I.________ au [...] n’était pas contraire à la loi, la situation dans ce pays ne permettant pas de retenir l’existence d’une mise en danger concrète au sens de l’art. 83 al. 3 LEtr. Elle a en outre retenu que la situation médicale de l’intéressé ne s’opposait pas à l’exécution de son renvoi de Suisse et qu’il pourrait accéder aux soins essentiels prodigués par les structures médicales privées ou publiques présentes dans son pays d’origine, jugées adéquates. Le 24 février 2016, le SEM a imparti un nouveau délai de départ à I.________, fixé au 23 mars 2016, pour quitter la Suisse. Le 29 mars 2016, le SPOP a averti I.________ que s’il ne quittait pas la Suisse, il pourrait être placé en détention administrative dans le cadre des mesures de contrainte.</w:t>
      </w:r>
    </w:p>
    <w:p>
      <w:r>
        <w:rPr>
          <w:b/>
        </w:rPr>
        <w:t>E. 3</w:t>
      </w:r>
    </w:p>
    <w:p>
      <w:r>
        <w:t>Durant son séjour en Suisse, I.________ a été condamné à une peine privative de liberté de 30 jours pour infraction à la loi fédérale sur</w:t>
      </w:r>
    </w:p>
    <w:p>
      <w:r>
        <w:t>- 4 - les stupéfiants, par ordonnance rendue le 24 février 2016 par le Ministère public cantonal STRADA et à une peine pécuniaire de 40 jours-amende à 30 fr. le jour, prononcée le 6 octobre 2016 par le Ministère public de l’arrondissement de Lausanne, pour séjour illégal.</w:t>
      </w:r>
    </w:p>
    <w:p>
      <w:r>
        <w:rPr>
          <w:b/>
        </w:rPr>
        <w:t>E. 3.1</w:t>
      </w:r>
    </w:p>
    <w:p>
      <w:r>
        <w:t>D'après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Il appartient cependant en priorité à l'autorité compétente en matière d'asile de décider si le renvoi est exigible, le juge de la détention ne pouvant intervenir que si le caractère inexécutable de la décision de renvoi est patent (ATF 130 II 56 consid. 2 ; ATF 128 II 193 consid. 2.2.2 ; TF 2C 256/2013 du 10 avril 2013 consid. 4.5 ; TF 2C 35/2009 du 13 février 2009 consid. 6.2 ; TF 2C_445/2007 du 30 octobre 2007 consid.</w:t>
      </w:r>
    </w:p>
    <w:p>
      <w:r>
        <w:t>- 6 -</w:t>
      </w:r>
    </w:p>
    <w:p>
      <w:r>
        <w:rPr>
          <w:b/>
        </w:rPr>
        <w:t>E. 3.2</w:t>
      </w:r>
    </w:p>
    <w:p>
      <w:r>
        <w:t>Selon l'art. 80 al. 6 let. a LEtr, la détention est levée lorsque le motif de détention n'existe plus ou l'exécution du renvoi ou de l'expulsion s'avère impossible pour des raisons juridiques ou matérielles.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qu’il n’y a qu'une possibilité théorique et totalement invraisemblable d'exécuter le renvoi que la détention doit être levée (ATF 130 II 56 consid. 4.1.3). La détention n’est ainsi pas (ou plus) proportionnée au but visé lorsque, malgré les efforts des autorités de police des étrangers, la possibilité d’exécuter l’expulsion ne peut pas être sérieusement envisagée dans un délai raisonnable eu égard aux circonstances du cas d’espèce. Le maintien en détention en vue du renvoi est disproportionné et donc illicite s’il y a des raisons sérieuses pour que l’exécution ne puisse pas avoir lieu dans un délai raisonnable (TF 4C_1182/2014 du 20 janvier 2015 consid. 3.3.1 ; ATF 130 II 56 consid. 4.1.3 et les références citées). Selon la jurisprudence, ces raisons doivent être importantes et il ne suffit ainsi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w:t>
      </w:r>
    </w:p>
    <w:p>
      <w:r>
        <w:t>- 7 - papiers voulus peuvent être obtenus. Tel est par exemple le cas d'un détenu présentant des atteintes à sa santé si importantes, qu'elles rendent impossible son transport pendant une longue période (cf. TF 2C_105/2016 du 8 mars 2016 consid. 6.2 ; TF 2C_951/2015 du 17 novembre 2015 consid. 3.1 ; TF 2C_490/2012 du 11 juin 2012 consid. 5.3.1 et les références citées). L'art. 26 al. 3 let. b de la loi fédérale du 20 mars 2008 sur l'usage de la contrainte (LUsC ; RS 364) impose la mise en œuvre d'un examen médical avant le départ lorsque l'état de la personne laisse supposer des problèmes de santé. L'art. 18 de l'ordonnance fédérale sur l'usage de la contrainte (OLUsC ; RS 364.3) dispose que l'autorité qui ordonne le transport et l'organe d'exécution déterminent l'aptitude de la personne concernée à être transportée. Le médecin peut fixer des conditions au transport. Celles-ci sont mentionnées dans le formulaire de transport.</w:t>
      </w:r>
    </w:p>
    <w:p>
      <w:r>
        <w:rPr>
          <w:b/>
        </w:rPr>
        <w:t>E. 3.3</w:t>
      </w:r>
    </w:p>
    <w:p>
      <w:r>
        <w:t>En l'espèce, les moyens invoqués par le recourant relatifs à son état de santé ainsi qu’à la situation politique et sécuritaire dans son pays d’origine ont déjà été examinés dans le cadre de la procédure d'asile et rejetés en dernière instance par le Tribunal administratif fédéral le 15 février 2016. Il n’y a dès lors pas matière à les réexaminer dans le cadre de la procédure de mesure de contrainte. Le courrier produit le 1er juin 2017 par le recourant n’est pas de nature à entraîner une autre appréciation. En premier lieu, le recourant est suivi par une équipe médicale durant sa détention administrative et le bilan somatique actuel est normal. Ensuite, la crise de décompensation présentée à l’arrivée en détention est traitée par des psychotropes et des anxiolytiques. Ces renseignements ont d’ailleurs été fournis directement au mandataire du recourant par un médecin des HUG, alors même que l’équipe médicale de l’établissement Favra n’a fourni aucune information de santé qui rendrait problématique la poursuite de la détention administrative.</w:t>
      </w:r>
    </w:p>
    <w:p>
      <w:r>
        <w:t>- 8 - Les éléments susmentionnés ne permettent par conséquent pas de retenir que l’exécution du renvoi serait impossible parce que le rapatriement serait exclu, les atteintes à la santé de l’intéressé n’étant pas si importantes qu’elles empêcheraient son transport au [...] au sens de la loi et de la jurisprudence rappelée ci-dessus (cf. consid. 3.2 supra). Par ailleurs, les modalités du rapatriement forcé devront de toute manière faire l'objet d'un nouvel examen médical en application de l'art. 26 al. 3 let. b LUsC. Ce moyen, mal fondé, doit être rejeté. 4. Le recourant invoque ensuite une violation des art. 75 et 76 LEtr. Il aurait toujours collaboré aux différentes démarches de l'autorité et serait d'accord de quitter la Suisse par ses propres moyens. Il cite un arrêt de la Cour européenne des droits de l’homme à l’appui de ce moyen.</w:t>
      </w:r>
    </w:p>
    <w:p>
      <w:r>
        <w:rPr>
          <w:b/>
        </w:rPr>
        <w:t>E. 4</w:t>
      </w:r>
    </w:p>
    <w:p>
      <w:r>
        <w:t>Le 3 octobre 2016, I.________ a disparu et a été inscrit au RIPOL le 7 octobre 2016. L’intéressé a été arrêté le 3 mai 2017 à 1h40 à la rue [...], à [...].</w:t>
      </w:r>
    </w:p>
    <w:p>
      <w:r>
        <w:rPr>
          <w:b/>
        </w:rPr>
        <w:t>E. 4.1</w:t>
      </w:r>
    </w:p>
    <w:p>
      <w:r>
        <w:t>À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w:t>
      </w:r>
    </w:p>
    <w:p>
      <w:r>
        <w:t>- 9 - 20 janvier 2011 consid. 2 ; TF 2C_206/2009 du 29 avril 2009 consid. 4.1). Il faut qu'il existe des éléments concrets en ce sens (TF 2C_256/2013 du 10 avril 2013 consid. 4.2 ; TF 2C_142/2013 du 1er mars 2013 consid. 4.2).</w:t>
      </w:r>
    </w:p>
    <w:p>
      <w:r>
        <w:rPr>
          <w:b/>
        </w:rPr>
        <w:t>E. 4.2</w:t>
      </w:r>
    </w:p>
    <w:p>
      <w:r>
        <w:t>En l’espèce, bien qu'averti à plusieurs reprises qu'il devait quitter la Suisse et qu'il pourrait être placé en détention s'il ne respectait pas le délai imparti pour ce faire, le recourant est resté en Suisse. Il a fait l’objet d’une inscription au RIPOL à la suite de sa disparition en octobre 2016, avant d'être appréhendé par la police au mois de mai 2017. Enfin, s’il a certes déclaré au premier juge qu’il acceptait de quitter la Suisse, le recourant a toutefois ajouté qu’il s’opposait à son renvoi au [...]. Partant, le recourant a clairement démontré qu’il n’était pas disposé à retourner dans son pays d’origine, étant au besoin prêt à entrer dans la clandestinité. Au demeurant, sa situation n’est pas comparable à celle décrite dans l’arrêt Jusic c. Suisse du 2 décembre 2010, dont il se prévaut. En effet, dans cette affaire, le requérant, qui avait quatre enfants et une épouse souffrante, avait eu un comportement irréprochable en dehors du fait qu’il avait à plusieurs reprises exprimé son refus de quitter le territoire suisse. Compte tenu des éléments qui précèdent, les conditions d'application de l'art. 76 LEtr sont remplies.</w:t>
      </w:r>
    </w:p>
    <w:p>
      <w:r>
        <w:rPr>
          <w:b/>
        </w:rPr>
        <w:t>E. 5</w:t>
      </w:r>
    </w:p>
    <w:p>
      <w:r>
        <w:t>Le recourant dénonce enfin une violation du principe de proportionnalité. Selon lui, une assignation à résidence constituerait une mesure suffisante.</w:t>
      </w:r>
    </w:p>
    <w:p>
      <w:r>
        <w:rPr>
          <w:b/>
        </w:rPr>
        <w:t>E. 5.1</w:t>
      </w:r>
    </w:p>
    <w:p>
      <w:r>
        <w:t>Pour que la mesure de contrainte respecte le principe de la proportionnalité, elle doit être adaptée et nécessaire. En matière de restrictions aux libertés, cela implique un rapport raisonnable entre le but d'intérêt public visé, le moyen choisi pour l'atteindre et la liberté impliquée (Auer/Malinverni/Hottelier, Droit constitutionnel suisse, volume II, Les droits fondamentaux, 3e éd., 2013, n. 26 p. 107). En vertu de la règle de nécessité déduite de ce principe, la mesure restrictive en cause ne doit pas seulement s'avérer apte à</w:t>
      </w:r>
    </w:p>
    <w:p>
      <w:r>
        <w:t>- 10 - produire le résultat escompté, mais doit encore être la seule à même de le faire, à l'exclusion d'autres plus respectueuses des libertés, qui seraient aussi efficaces (Auer/Malinverni/ 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w:t>
      </w:r>
    </w:p>
    <w:p>
      <w:r>
        <w:rPr>
          <w:b/>
        </w:rPr>
        <w:t>E. 5.2</w:t>
      </w:r>
    </w:p>
    <w:p>
      <w:r>
        <w:t>En l'espèce, le recourant n’a aucune attache dans notre pays, il est déjà entré dans la clandestinité durant plusieurs mois et a démontré qu’il n'avait aucune intention de donner suite aux injonctions de départ. Dans ces circonstances, la mise en détention constitue la seule mesure de contrainte adéquate. L'exécution de cette mesure a par ailleurs lieu dans un établissement où le recourant pourra bénéficier des soins médicaux que nécessite son état de santé. Le SPOP a en outre indiqué que le refoulement devrait pouvoir être organisé à bref délai. La mise en détention, d'une durée fixée au maximum légal, apparaît en définitive comme une mesure proportionnée. Le grief, mal fondé, doit être rejeté.</w:t>
      </w:r>
    </w:p>
    <w:p>
      <w:r>
        <w:rPr>
          <w:b/>
        </w:rPr>
        <w:t>E. 6.1</w:t>
      </w:r>
    </w:p>
    <w:p>
      <w:r>
        <w:t>Compte tenu de ce qui précède, le recours doit être rejeté et l’ordonnance entreprise confirmée. L’arrêt peut être rendu sans frais (art. 50 LPA-VD [loi vaudoise du 28 octobre 2008 sur la procédure administrative ; RSV 173.36]).</w:t>
      </w:r>
    </w:p>
    <w:p>
      <w:r>
        <w:rPr>
          <w:b/>
        </w:rPr>
        <w:t>E. 6.2</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Laurent Roulier a donc droit à une rémunération équitable pour ses opérations et débours dans la procédure de recours. Il a produit le 22 mai 2017 une liste d'opérations</w:t>
      </w:r>
    </w:p>
    <w:p>
      <w:r>
        <w:t>- 11 - faisant état de 3 heures et 30 minutes de travail d'avocat, temps qui apparaît correct et peut être admis dans son ensemble. Compte tenu d’un tarif horaire de 180 fr. (art. 2 al. 1 let. a RAJ [règlement sur l’assistance judiciaire en matière civile du 7 décembre 2010 ; RSV 211.02.3]), l'indemnité d'office de Me Roulier doit donc être arrêtée à 630 fr., montant auquel s’ajoute la TVA à 8% par 50 fr. 40, soit 680 fr. 40 au total. Par ces motifs, la Chambre des recours civile du Tribunal cantonal, prononce : I. Le recours est rejeté. II. L’ordonnance est confirmée. III. L'arrêt est rendu sans frais. IV. L'indemnité de Me Laurent Roulier, conseil d'office du recourant, est arrêtée à 680 fr. 40 (six cent huitante francs et quarante centimes), TVA comprise. V. L'arrêt est exécutoire. Le vice-président : La greffière :</w:t>
      </w:r>
    </w:p>
    <w:p>
      <w:r>
        <w:t>- 12 - Du L'arrêt qui précède, dont la rédaction a été approuvée à huis clos, est notifié à : - Me Laurent Roulier, avocat (pour I.________), - Service de la population, secteur juridique.</w:t>
      </w:r>
    </w:p>
    <w:p>
      <w:r>
        <w:t>- 13 -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