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JY17.000023 vom 8. Februar 2017</w:t>
      </w:r>
    </w:p>
    <w:p>
      <w:r>
        <w:t>VD Tribunal cantonal, 2017-02-08, FR</w:t>
      </w:r>
    </w:p>
    <w:p>
      <w:r>
        <w:rPr>
          <w:b/>
        </w:rPr>
        <w:t xml:space="preserve">Quelle: </w:t>
      </w:r>
      <w:r>
        <w:t>https://mcp.opencaselaw.ch/entscheid/vd_gerichte_JY17.000023</w:t>
      </w:r>
    </w:p>
    <w:p>
      <w:r>
        <w:t>FR: VD_GERICHTE JY17.000023 du 8 février 2017</w:t>
      </w:r>
    </w:p>
    <w:p>
      <w:r>
        <w:t>IT: VD_GERICHTE JY17.000023 del 8 febbraio 2017</w:t>
      </w:r>
    </w:p>
    <w:p>
      <w:pPr>
        <w:pStyle w:val="Heading2"/>
      </w:pPr>
      <w:r>
        <w:t>Erwägungen</w:t>
      </w:r>
    </w:p>
    <w:p>
      <w:r>
        <w:rPr>
          <w:b/>
        </w:rPr>
        <w:t>E. 1</w:t>
      </w:r>
    </w:p>
    <w:p>
      <w:r>
        <w:t>Par ordonnance du 3 janvier 2017, adressée pour notification aux parties le lendemain, la Juge de paix du district de Lausanne a ordonné la détention dès le 3 janvier 2017 pour une durée de six mois de R.________, né le [...] 1998, originaire de Gambie, détenu dans les locaux de l’Etablissement de Favra, route de Favra 24, 1241 Puplinge (I) et a transmis le dossier au Président du Tribunal cantonal afin qu’il désigne un avocat d’office à l’intéressé (II). En droit, le premier juge a considéré que la mise en détention de l’intéressé se justifiait dès lors qu’il faisait l’objet d’une décision définitive et exécutoire de renvoi de Suisse avec délai de départ au 12 janvier 2015, qu’il ne bénéficiait d’aucun effet suspensif à l’exécution de son renvoi, qu’il avait refusé de signer un plan de vol en vue d’un retour volontaire en Gambie et ne s’était pas présenté à l’aéroport pour le vol prévu, qu’il avait disparu alors qu’il était assigné à résidence, qu’il avait déclaré qu’il ne voulait pas retourner en Gambie et resterait en Suisse coûte que coûte, qu’il avait été condamné pénalement pour non-respect d’une assignation à résidence et que, tant par son comportement que par ses déclarations, l’intéressé démontrait qu’il n’avait aucune intention de collaborer à son départ. Le premier juge a dès lors ordonné la mise en détention de l’intéressé dans l'établissement de Favra, à Puplinge, où les conditions de la détention sont adéquates, proportionnées et adaptées en vue d'assurer l'exécution de son renvoi, celui-ci étant exécutable dans un délai difficilement prévisible, mais d’environ six mois au maximum.</w:t>
      </w:r>
    </w:p>
    <w:p>
      <w:r>
        <w:rPr>
          <w:b/>
        </w:rPr>
        <w:t>E. 1.1</w:t>
      </w:r>
    </w:p>
    <w:p>
      <w:r>
        <w:t>Le recours au Tribunal cantonal est ouvert contre la décision du juge de paix ordonnant la détention administrative (art. 80 al. 1 LEtr [loi fédérale sur les étrangers du 16 décembre 2005 ; RS 142.20] ; 30 al. 1 LVLEtr [loi du 18 décembre 2007 d'application dans le canton de Vaud de la législation fédérale sur les étrangers ; RSV 142.11]).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Déposé en temps utile par le recourant, qui y a un intérêt, le recours est formellement recevable (art. 30 al. 2 LVLEtr).</w:t>
      </w:r>
    </w:p>
    <w:p>
      <w:r>
        <w:rPr>
          <w:b/>
        </w:rPr>
        <w:t>E. 1.2</w:t>
      </w:r>
    </w:p>
    <w:p>
      <w:r>
        <w:t>Le Juge de paix du district de Lausanne est l’autorité compétente en vertu des art. 17 et 20 LVLEtr. Saisi d’une requête motivée et documentée du SPOP du 3 janvier 2017, il a procédé à l’audition du recourant le jour-même et a résumé ses déclarations dans ce qu’elles avaient d’utile (art. 21 al. 1 et 2 LVLEtr). A l’issue de l’audition, le premier juge a immédiatement rendu un ordre de détention et sa décision motivée a été notifiée le lendemain au recourant, soit dans le délai légal de nonante-six heures (art. 16 al. 1 LVLEtr). Le recourant a été informé de son droit de demander la désignation d’un conseil d’office (art. 24 al. 2 LVLEtr). Un conseil d’office lui a d'ailleurs été désigné.</w:t>
      </w:r>
    </w:p>
    <w:p>
      <w:r>
        <w:t>- 7 - Le droit d’être entendu du recourant ayant été respecté, la procédure a été régulière, ce dont l'intéressé ne disconvient pas.</w:t>
      </w:r>
    </w:p>
    <w:p>
      <w:r>
        <w:rPr>
          <w:b/>
        </w:rPr>
        <w:t>E. 1.3</w:t>
      </w:r>
    </w:p>
    <w:p>
      <w:r>
        <w:t>La Chambre des recours civile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(CREC 25 septembre 2015/346). Le Tribunal statue à bref délai (art. 31 al. 4 LVLEtr). En l’espèce, les pièces produites par le recourant sont recevables et ont été prises en compte dans la mesure de leur utilité. Sans requérir formellement de mesures d’instruction, le recourant mentionne une expertise psychiatrique à ordonner à l’appui de ses allégués 5, 36 et 40, ainsi que, pour prouver d’autres allégués, des témoignages à recueillir ou des renseignements à obtenir en composant des numéros de téléphones portables de destinataires qu’il indique. Le recours devant être tranché rapidement, ces modes de preuve ne seront pas mis en œuvre. De plus le dossier comportant des éléments suffisants pour statuer, ces mesures d’instruction ne sont pas pertinentes. 2.</w:t>
      </w:r>
    </w:p>
    <w:p>
      <w:r>
        <w:rPr>
          <w:b/>
        </w:rPr>
        <w:t>E. 2</w:t>
      </w:r>
    </w:p>
    <w:p>
      <w:r>
        <w:t>Le 4 janvier 2017, le Président du Tribunal cantonal a désigné Me Charles Fragnière en qualité de conseil d'office de R.________. B. Par acte motivé du 13 janvier 2017, R.________, par l’intermédiaire de son conseil d’office, a recouru contre l’ordonnance susmentionnée et a conclu, avec suite de frais et dépens, à la réforme du</w:t>
      </w:r>
    </w:p>
    <w:p>
      <w:r>
        <w:t>- 3 - chiffre I de dite ordonnance, principalement, en ce sens que sa libération immédiate soit ordonnée et, subsidiairement, en ce sens que l’assignation à résidence soit ordonnée au foyer EVAM du [...], tous les jours de 22 h. à</w:t>
      </w:r>
    </w:p>
    <w:p>
      <w:r>
        <w:rPr>
          <w:b/>
        </w:rPr>
        <w:t>E. 2.1</w:t>
      </w:r>
    </w:p>
    <w:p>
      <w:r>
        <w:t>Le recourant soutient qu’il a dû fuir la Gambie à quinze ans en raison de son homosexualité parce que sa famille le rejetait et qu’il ne serait pas envisageable pour lui de repartir dans son pays pour y subir le même rejet. Il affirme par ailleurs avoir toujours collaboré avec les autorités suisses en fournissant sa véritable identité. Il souligne également son intégration en Suisse. Le recourant relève également que la détention porterait atteinte à sa santé et même à sa vie.</w:t>
      </w:r>
    </w:p>
    <w:p>
      <w:r>
        <w:rPr>
          <w:b/>
        </w:rPr>
        <w:t>E. 2.2</w:t>
      </w:r>
    </w:p>
    <w:p>
      <w:r>
        <w:t>L'art. 80 LEtr dispose notamment que, lorsqu'elle examine la décision de détention, de maintien ou de levée de celle-ci, l'autorité judiciaire tient compte de la situation familiale de la personne détenue et des conditions d'exécution de la détention (al. 4) ; la détention est levée – respectivement la prolongation refusée – notamment lorsque l'exécution</w:t>
      </w:r>
    </w:p>
    <w:p>
      <w:r>
        <w:t>- 8 - du renvoi ou de l'expulsion s'avère impossible pour des raisons juridiques ou matérielles (al. 6 let. a).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2C_386/2010 du 1er juin 2010 consid. 4 ; TF 2C_473/2010 du 25 juin 2010 consid. 4.1 et les réf. citées). Tel est par exemple le cas si le déplacement de la personne concernée n'est pas concevable pour des raisons de santé ou qu'un Etat refuse de reprendre certains de ses ressortissants (ATF 125 Il 217 consid. 2 ; (Göksu, Bundesgesetz über die Ausländerinnen und Ausländer, Berne 2010, n. 21 ad art. 80 LEtr). La jurisprudence de la Cour européenne des droits de l’Homme n’admet l’exclusion du renvoi de personnes même sévèrement malades que dans des cas exceptionnels, telle la situation de malades en phase terminale ne jouissant d’aucun accès à une prise en charge médicale ni à la fourniture d’une assistance de base dans le pays de destination (CECHR A.S. c. Switzerland, n° 39350/13 du 30 juin 2015, § 25 ss et les références citées). D'après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Il appartient cependant en priorité à l'autorité compétente en matière d'asile de décider si le renvoi est exigible, le juge de la détention ne pouvant intervenir que si le caractère inexécutable de la décision de renvoi est patent (ATF 130 II 56 consid. 2 ; ATF 128 II 193 consid. 2.2.2 ; TF 2C_256/2013 du 10 avril 2013 consid. 4.5 ; TF 2C_35/2009 du 13 février 2009 consid. 6.2 ; TF 2C_445/2007 du 30 octobre 2007 consid. 4.2 ; TF 2A_47/2007 du 18 avril 2007 consid. 2.3). La procédure liée à la détention administrative ne permet pas, sauf cas</w:t>
      </w:r>
    </w:p>
    <w:p>
      <w:r>
        <w:t>- 9 - exceptionnels, de remettre en cause le caractère licite de la décision de renvoi.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(TF 2C_206/2014 du 4 mars 2014 consid. 3 et les réf. citées).</w:t>
      </w:r>
    </w:p>
    <w:p>
      <w:r>
        <w:rPr>
          <w:b/>
        </w:rPr>
        <w:t>E. 2.3</w:t>
      </w:r>
    </w:p>
    <w:p>
      <w:r>
        <w:t>En l’espèce, le recourant a fait l’objet d’une décision de renvoi qui est définitive et exécutoire et qui lie donc l’autorité de céans. En particulier, dite décision a examiné le cas du recourant sous l’angle de sa situation personnelle et aucun motif exceptionnel ne permet de remettre en cause le caractère licite de cette décision. En particulier, l’indéniable intégration scolaire du recourant dans le canton ne constitue pas un motif de renoncer à une mesure de contrainte au sens de la jurisprudence citée ci-dessus. S’agissant du risque pour sa santé, le certificat médical du 6 janvier 2017 produit par le recourant se limite à diagnostiquer un risque de suicide sans l’attribuer à la détention. Ce risque est d’ailleurs atténué ou contenu par l’hospitalisation du recourant à Curabilis. Enfin, lors du renvoi effectif, la détention – prétendue cause du risque – prendra fin ipso facto. Au demeurant, à l’appui de sa demande d’asile, le recourant n’a nullement déclaré que sa famille le rejetait en raison de ses mœurs, mais en substance qu’il avait fui en raison des risques d’être inquiété compte tenu de son homosexualité présumée ; il avait au contraire indiqué que sa mère était intervenue en sa faveur. Enfin, il ressort de la procédure d’asile qu’il a usé d’identités différentes. Ces griefs doivent donc être rejetés, la détention étant justifiée sous l’angle de l’art. 80 al. 4 et 6 let. a LEtr. 3.</w:t>
      </w:r>
    </w:p>
    <w:p>
      <w:r>
        <w:t>- 10 - 3.1 Le recourant soutient que le SPOP aurait violé son devoir de diligence en n’exécutant pas son renvoi dès que possible, attendant qu’il devienne majeur afin de ne pas avoir à entreprendre les démarches requises pour le renvoi des mineurs. Le recourant fait également valoir que le SPOP aurait violé le principe de la bonne foi en s’exonérant des démarches requises par le renvoi de mineurs ; celles-ci auraient effet abouti à la démonstration que sa protection n’était pas assurée en Gambie. 3.2 L’art. 69 al. 4 LETr dispose qu’avant de renvoyer ou d'expulser un étranger mineur non accompagné, l'autorité compétente s'assure qu'il sera remis à un membre de sa famille, à un tuteur ou à une structure d'accueil pouvant garantir sa protection dans l'Etat concerné. 3.3 En l’espèce, si le renvoi contraint du recourant aurait certes pu intervenir plus tôt, le cas échéant lorsqu’il était encore mineur, on ne discerne pas où conduit son argumentation. En effet, s’il soutient qu’il devait déjà être expulsé comme mineur et que l’autorité de renvoi aurait manqué de diligence en différant son renvoi, son renvoi contraint comme jeune adulte s’avère d’autant plus nécessaire et pressant. S’agissant de la violation du principe de la bonne foi reprochée au SPOP, on ignore le résultat qu’auraient amené les démarches requises par l’art. 69 al. 4 LETr ; en outre, le recourant adopte une attitude contradictoire sur ce point – donc contraire au principe de la bonne foi –, en se prévalant de ce que son renvoi ne soit pas intervenu plus tôt, alors qu’il s’oppose farouchement audit renvoi et entend le différer. 4. 4.1 Le recourant fait enfin valoir que sa détention serait contraire au principe de la proportionnalité et qu’il doit être procédé à une pesée de l’intérêt public à assurer l’exécution de son renvoi et de son intérêt privé à demeurer en Suisse. Il explique les raisons de la violation de sa</w:t>
      </w:r>
    </w:p>
    <w:p>
      <w:r>
        <w:t>- 11 - précédente assignation à résidence et relève qu’il s’est spontanément présenté aux autorités. 4.2 4.2.1 L'art. 76 al. 1 let. b LEtr dispose que, lorsqu'une décision de renvoi ou d'expulsion de première instance a été notifiée, l'autorité compétente peut, afin d'en assurer l'exécution, mettre la personne concernée en détention notamment :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chiffres décrivent des comportements permettant de conclure à l'existence d'un risque de fuite ou de disparition (« Untertauchensgefahr ») et peuvent donc être envisagés ensemble (Zünd, Kommentar Migrationsrecht, 3e éd., Zurich 2012,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consid. 3.1 ; TF 2C_984/2010 du 20 janvier 2011 consid. 2 ; TF 2C_206/2009 du 29 avril 2009 consid. 4.1). La simple supposition qu’un individu pourrait se soustraire à son renvoi ne suffit pas à justifier sa détention administrative (ATF 129 I 139 consid. 4.2.1). En revanche, on peut se satisfaire d’un faisceau d’indices de soustraction au renvoi (ATF 130 II 56 consid. 3.1 ; ATF 129 I 139 consid. 4.2.1 ; ATF 125 II 369 consid. 3b/aa ; ATF 122 II 49, rés. in JdT 1998 I 95).</w:t>
      </w:r>
    </w:p>
    <w:p>
      <w:r>
        <w:t>- 12 - 4.2.2 Selon la jurisprudence, la détention doit toujours respecter le principe de la proportionnalité, ce qui suppose d’examiner l’ensemble des circonstances pour déterminer si elle paraît appropriée et nécessaire (cf. ATF 135 II 105 consid. 2.2.1 ; ATF 134 I 92 consid. 2.3.2), étant précisé que plus la détention se prolonge, plus les exigences relatives à la proportionnalité sont accrues (Nguyen, Les renvois et leur exécution en droit suisse, in Les renvois et leur exécution, Berne 2011, p. 115 ss, 183). Le refus explicite de collaborer de la personne concernée est un indice important, mais d’autres éléments entrent aussi en compte (ATF 135 II 105 consid. 2.2.2 ; ATF 134 II 201 consid. 2.2.4, confirmé notamment in TF 2C_538/2010 du 19 juillet 2010 consid. 4.3.1). Ainsi, le comportement de l’intéressé, la possibilité qui lui est offerte de mettre concrètement lui- même fin à sa détention s’il coopère, ses relations familiales ou le fait qu’en raison de son âge, son état de santé ou son sexe, il mérite une protection particulière, peuvent aussi jouer un rôle (TF 2C_639/2011 du 16 septembre 2011 consid. 3.1 ; TF 2C_624/2011 du 12 septembre 2011 consid. 2.1 ; TF 2C_936/2010 du 24 décembre 2010 consid. 1.3). 4.3 En l’espèce, il est établi que le recourant a violé l’assignation à résidence ordonnée le 21 juin 2016 pour se soustraire au renvoi ; cette violation a été sanctionnée par une condamnation pénale. Après avoir disparu dès le 11 juillet 2016, le recourant s’est effectivement présenté spontanément dans les locaux du SPOP ; ce fait n’est toutefois pas propre à ruiner les constations selon lesquelles il persiste dans sa volonté d’éluder son renvoi. En effet, à l’audience du Juge de paix du 3 janvier 2017, le recourant a affirmé à nouveau ne pas vouloir quitter la Suisse. Dans ses critiques concernant le caractère disproportionné de sa détention, le recourant revient encore sur le bien-fondé de son renvoi, ce qui n’est pas du ressort du juge des mesures de contrainte. Comme on l’a vu, la détermination du recourant à transgresser son renvoi et son insoumission vérifiée à une assignation à résidence démontrent la proportionnalité de la détention.</w:t>
      </w:r>
    </w:p>
    <w:p>
      <w:r>
        <w:t>- 13 - En définitive, il n'apparaît pas que la mise en détention du recourant, ordonnée pour six mois, ce qui correspond à la durée légale prévue à l'art. 79 al. 1 LEtr, soit en l'état contraire au principe de la proportionnalité tel que consacré aux art. 5 al. 2 CEDH, 36 al. 3 Cst. et 96 LEtr. En outre, il n'existe aucun élément qui ferait douter à ce stade que les autorités n'accompliraient pas les démarches nécessaires à l'exécution du renvoi avec diligence et célérité, conformément à l’art. 76 al. 3 et 4 LEtr, le SPOP ayant à cet égard indiqué que l’organisation d’un vol spécial à destination de la Gambie se poursuivait. Si la demande de reconsidération déposée le 13 janvier 2017 auprès du SEM entraîne une renonciation provisoire à l’exécution du renvoi pour ne pas priver d’emblée la requête de tout objet, cela n’empêche toutefois pas la poursuite des démarches préparatoires à ce renvoi, dont le maintien en détention fait partie. En définitive, il faut considérer que la détention du recourant apparaît appropriée et nécessaire, qu'elle reste dans le délai ordinaire prévu par la loi et qu'il s'agit de la seule mesure permettant d'assurer l'exécution du renvoi. L’ordonnance entreprise respecte donc le principe de la proportionnalité et ce dernier grief se révèle mal fondé. 5. 5.1 Il découle des considérants qui précèdent que le recours doit être rejeté et l’ordonnance entreprise confirmée. Le présent arrêt peut être rendu sans frais judiciaires (art. 50 LPA-VD). 5.2 Selon l’art. 25 al. 1 LVLEtr, lorsque la personne détenue est indigente, le conseil d’office reçoit une indemnité à la charge de la caisse de l’Etat, les dispositions relatives à la rémunération des défenseurs d’office en matière pénale étant applicables.</w:t>
      </w:r>
    </w:p>
    <w:p>
      <w:r>
        <w:t>- 14 - En sa qualité de conseil d’office, l’avocat Charles Fragnière a produit un récapitulatif des opérations faisant état de 7 h. 10 de travail, ses débours se montant à 176 fr. 30, y compris 120 fr. pour un déplacement et 50 fr. pour des photocopies. Le temps d’étude du dossier, par 30 minutes, est déjà compris dans le temps de rédaction du recours, à raison d’un total de 4 h. 40 ; l’activité de l’avocat doit dès lors être ramenée à 6 h. 40, à laquelle s’ajoute un montant forfaitaire de 120 fr., alloué à titre d’indemnité de vacation (CREC 2 octobre 2012/344, JdT 2013 III 3). S’agissant des débours, il y a lieu de rappeler que les frais de photocopies, annoncés par 50 fr., font parties des frais généraux de l’étude et ne doivent pas être pris en considération (CREC 1er novembre 2013/377). Au tarif horaire de 180 fr. (art. 2 al. 1 let. a RAJ [règlement du</w:t>
      </w:r>
    </w:p>
    <w:p>
      <w:r>
        <w:rPr>
          <w:b/>
        </w:rPr>
        <w:t>E. 7</w:t>
      </w:r>
    </w:p>
    <w:p>
      <w:r>
        <w:t>décembre 2010 sur l'assistance judiciaire en matière civile ; RSV 211.02.3]), l'indemnité d'office de Me Charles Fragnière doit ainsi être arrêtée à 1'432 fr. 40, soit 1'200 fr. d’honoraires, 120 fr. de vacation et 6 fr. 30 de débours, TVA à 8 % en sus, par 106 fr. 10. Par ces motifs, la Chambre des recours civile du Tribunal cantonal, prononce : I. Le recours est rejeté. II. L’ordonnance est confirmée. III. L’indemnité de Me Charles Fragnière, conseil d’office, est fixée à 1'432 fr. 40 (mille quatre cent trente-deux francs et quarante centimes), débours et TVA compris.</w:t>
      </w:r>
    </w:p>
    <w:p>
      <w:r>
        <w:t>- 15 - IV. L’arrêt, rendu sans frais, est exécutoire. La présidente : La greffière : Du L'arrêt qui précède, dont la rédaction a été approuvée à huis clos, est notifié à : - Me Charles Fragnière (pour R.________),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