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JY13.049998 vom 19. Dezember 2013</w:t>
      </w:r>
    </w:p>
    <w:p>
      <w:r>
        <w:t>VD Tribunal cantonal, 2013-12-19, FR</w:t>
      </w:r>
    </w:p>
    <w:p>
      <w:r>
        <w:rPr>
          <w:b/>
        </w:rPr>
        <w:t xml:space="preserve">Quelle: </w:t>
      </w:r>
      <w:r>
        <w:t>https://mcp.opencaselaw.ch/entscheid/vd_gerichte_JY13.049998</w:t>
      </w:r>
    </w:p>
    <w:p>
      <w:r>
        <w:t>FR: VD_GERICHTE JY13.049998 du 19 décembre 2013</w:t>
      </w:r>
    </w:p>
    <w:p>
      <w:r>
        <w:t>IT: VD_GERICHTE JY13.049998 del 19 dicembre 2013</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LOJV [loi d'organisation judiciaire du 12 décembre 1979; RSV 173.01] et art. 18 al. 3 let. c ROTC [règlement organique du Tribunal cantonal du 13 novembre 2007; RSV 173.31.1]).</w:t>
      </w:r>
    </w:p>
    <w:p>
      <w:r>
        <w:t>- 5 - Déposé en temps utile par le recourant, qui y a un intérêt, le recours est recevable à la forme (art. 30 al. 2 LVLEtr).</w:t>
      </w:r>
    </w:p>
    <w:p>
      <w:r>
        <w:rPr>
          <w:b/>
        </w:rPr>
        <w:t>E. 2</w:t>
      </w:r>
    </w:p>
    <w:p>
      <w:r>
        <w:t>Le Juge de paix du district de Lausanne est l'autorité compétente en vertu des art. 17 et 20 LVLEtr. Saisie d'une réquisition du SPOP du 19 novembre 2013, le premier juge a procédé à l'audition du recourant le même jour. Les déclarations du recourant ont été résumées au procès-verbal dans ce qu'elles avaient d'utile (art. 21 al. 1 et 2 LVLEtr). A l'issue de l'audition, le Juge de paix a immédiatement rendu un ordre de détention et sa décision motivée a été notifiée le 20 novembre 2013 au recourant, soit dans le délai légal de nonante-six heures prescrit par l'art. 80 al. 2 LEtr. Le recourant a été informé de son droit de demander la désignation d'un conseil d'office (art. 24 al. 2 LVLEtr). Un conseil d'office lui a été désigné. La procédure a ainsi été régulière, le droit d'être entendu du recourant ayant été respecté.</w:t>
      </w:r>
    </w:p>
    <w:p>
      <w:r>
        <w:rPr>
          <w:b/>
        </w:rPr>
        <w:t>E. 3</w:t>
      </w:r>
    </w:p>
    <w:p>
      <w:r>
        <w:t>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Le recourant a requis la production par l'Hôpital cantonal de Fribourg de son dossier médical. Rien dans ses allégations de fait n'indique cependant qu'il souffre d'une maladie de l'estomac. En effet, il ne fait état d'aucune démarche antérieure à ce sujet, ni ne produit aucun certificat médical à ce propos, ni rapport de détention qui le mentionnerait. De plus, aucun élément au dossier ne permet de retenir le moindre indice que son état de santé empêcherait sa détention. Pour le surplus, la prise en charge médicale au sein de l'établissement Favra est</w:t>
      </w:r>
    </w:p>
    <w:p>
      <w:r>
        <w:t>- 6 - suffisante et adéquate, de sorte qu'il n'y a pas lieu de donner suite à la réquisition en production de pièce.</w:t>
      </w:r>
    </w:p>
    <w:p>
      <w:r>
        <w:rPr>
          <w:b/>
        </w:rPr>
        <w:t>E. 4</w:t>
      </w:r>
    </w:p>
    <w:p>
      <w:r>
        <w:t>Le recourant se plaint d'une violation de l'art. 76 al. 1 let. b ch. 3 et 4 LEtr, faisant valoir qu'il n'existe en l'espèce pas d'indices concrets qu'il veuille se soustraire au refoulement et disparaître dans la clandestinité. Il estime qu'il n'y a pas d'indication selon laquelle il voudrait fuir. En outre, il invoque des raisons de santé pour ne pas être expulsé. Il déclare souffrir d'une maladie de l'estomac, qui pourrait rendre sa détention administrative incompatible et permettre un réexamen de sa situation.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w:t>
      </w:r>
    </w:p>
    <w:p>
      <w:r>
        <w:t>- 7 -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 b) En l'espèce, le recourant a disparu dès le mois de juillet 2013. Il a refusé de signer en octobre 2013 une déclaration de retour volontaire dans son pays, malgré ses premières déclarations en ce sens au SPOP en juin 2013. Il a confirmé le 28 novembre dernier aux autorités genevoises ne pas vouloir retourner dans son pays d'origine, alors même qu'il a déclaré quelques jours plutôt au premier juge avoir toujours été d'accord avec un retour volontaire en Guinée-Bissau. Ces éléments constituent des indices forts attestant d'un risque de fuite et d’une volonté de se soustraire au renvoi. Au vu de ces circonstances, les conditions posées par l’art. 76 al. 1 let. b ch. 3 et 4 LEtr sont réalisées. S'agissant des raisons de santé qui devraient conduire à surseoir à son renvoi, elles ne sont même pas rendues vraisemblables. Aucune pièce au dossier ne permet d'établir que le recourant souffrirait d'une maladie, plus particulièrement de l'estomac. On renvoie pour le surplus aux motifs exposés ci-dessus (cf. c. 3) qui gardent ici toute leur portée.</w:t>
      </w:r>
    </w:p>
    <w:p>
      <w:r>
        <w:rPr>
          <w:b/>
        </w:rPr>
        <w:t>E. 5</w:t>
      </w:r>
    </w:p>
    <w:p>
      <w:r>
        <w:t>Enfin, il faut relever que la mesure contestée respecte le principe de proportionnalité, dès lors que le refoulement du recourant pourra manifestement être exécuté avant l’échéance du délai maximal de 18 mois prévu par la loi et que ce n’est, selon le Tribunal fédéral, que lorsque des raisons sérieuses laissent penser que la mesure d’éloignement ne pourra certainement pas intervenir avant la fin du délai légal qu’une détention est inadmissible sous l’angle de la proportionnalité (TF 2A_549/2003 du 3 décembre 2003).</w:t>
      </w:r>
    </w:p>
    <w:p>
      <w:r>
        <w:t>- 8 -</w:t>
      </w:r>
    </w:p>
    <w:p>
      <w:r>
        <w:rPr>
          <w:b/>
        </w:rPr>
        <w:t>E. 6</w:t>
      </w:r>
    </w:p>
    <w:p>
      <w:r>
        <w:t>Le recours doit ainsi être rejeté et l'ordonnance confirmée. L'arrêt peut être rendu sans frais.</w:t>
      </w:r>
    </w:p>
    <w:p>
      <w:r>
        <w:rPr>
          <w:b/>
        </w:rPr>
        <w:t>E. 7</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Philippe Oguey a produit une liste des opérations annonçant 3h35 de travail et 28 fr. 50 de débours. Cette liste peut être admise, sous réserve d'un léger arrondissement vers le bas, de sorte qu'il y a lieu de fixer l'indemnité d'office de Me Philippe Oguey à 710 fr. 65 correspondant à 3h30 de travail à 180 fr. de l'heure, plus 28 fr. de débours et 52 fr. 65 de TVA. Par ces motifs, la Chambre des recours civile du Tribunal cantonal, statuant à huis clos, prononce : I. Le recours est rejeté. II. L'ordonnance est confirmée. III. L'arrêt est rendu sans frais. IV. L'indemnité d'office de Me Philippe Oguey, conseil du recourant, est arrêtée à 710 fr. 65 (sept cent dix francs et soixante-cinquante centimes), débours et TVA compris. V. L'arrêt motivé est exécutoire.</w:t>
      </w:r>
    </w:p>
    <w:p>
      <w:r>
        <w:t>- 9 - Le président : La greffière : Du 20 décembre 2013 Le dispositif de l'arrêt qui précède est communiqué par écrit aux intéressés. La greffière : Du L'arrêt qui précède, dont la rédaction a été approuvée à huis clos, est notifié en expédition complète, par l'envoi de photocopies, à : - Me Philippe Oguey (pour S.________),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