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JY13.029619 vom 30. Juli 2013</w:t>
      </w:r>
    </w:p>
    <w:p>
      <w:r>
        <w:t>VD Tribunal cantonal, 2013-07-30, FR</w:t>
      </w:r>
    </w:p>
    <w:p>
      <w:r>
        <w:rPr>
          <w:b/>
        </w:rPr>
        <w:t xml:space="preserve">Quelle: </w:t>
      </w:r>
      <w:r>
        <w:t>https://mcp.opencaselaw.ch/entscheid/vd_gerichte_JY13.029619</w:t>
      </w:r>
    </w:p>
    <w:p>
      <w:r>
        <w:t>FR: VD_GERICHTE JY13.029619 du 30 juillet 2013</w:t>
      </w:r>
    </w:p>
    <w:p>
      <w:r>
        <w:t>IT: VD_GERICHTE JY13.029619 del 30 luglio 2013</w:t>
      </w:r>
    </w:p>
    <w:p>
      <w:pPr>
        <w:pStyle w:val="Heading2"/>
      </w:pPr>
      <w:r>
        <w:t>Erwägungen</w:t>
      </w:r>
    </w:p>
    <w:p>
      <w:r>
        <w:rPr>
          <w:b/>
        </w:rPr>
        <w:t>E. 4.1</w:t>
      </w:r>
    </w:p>
    <w:p>
      <w:r>
        <w:t>Le recourant se plaint de violation de l’art. 76 al. 1er let. b ch. 3 et 4 LEtr. Il soutient qu’il aurait droit à l’asile en Suisse ou qu’on ne pourrait pas le renvoyer en Italie, puisque ces questions ont été tranchées par arrêt du Tribunal administratif fédéral du 9 avril 2013, et que la présente procédure ne porte que sur la licéité d’une détention avant renvoi.</w:t>
      </w:r>
    </w:p>
    <w:p>
      <w:r>
        <w:rPr>
          <w:b/>
        </w:rPr>
        <w:t>E. 4.2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w:t>
      </w:r>
    </w:p>
    <w:p>
      <w:r>
        <w:t>- 6 - 90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w:t>
      </w:r>
    </w:p>
    <w:p>
      <w:r>
        <w:rPr>
          <w:b/>
        </w:rPr>
        <w:t>E. 4.3</w:t>
      </w:r>
    </w:p>
    <w:p>
      <w:r>
        <w:t>En l’espèce, le recourant a déposé une demande d’asile en Suisse le 18 janvier 2013 alors qu’il était au bénéfice d’un visa, valable du 15 décembre 2012 au 15 juin 2013, délivré par les autorités italiennes compétentes, qui avaient accepté le transfert de l’intéressé vers leur pays à la suite du refus d’entrer en matière de la part de l’ODM, selon décision du 12 mars 2013 entrée en force le 9 avril suivant. Un renvoi de Suisse a donc été ordonné et un délai de départ au lendemain de l’entrée en force de la décision lui a été imparti. Le 29 avril 2013, le SPOP a averti l’intéressé que, s’il ne quittait pas la Suisse, il pourrait être placé en détention administrative dans le cadre de mesures de contrainte. De plus, lors de son audition par le premier juge, l’intéressé a déclaré qu’il ne souhaitait pas retourner en Italie et qu’il préférait rester en Suisse.</w:t>
      </w:r>
    </w:p>
    <w:p>
      <w:r>
        <w:t>- 7 - Dans ces circonstances, les conditions de l’art. 76 al. 1 let. b ch. 3 et 4 LEtr sont réalisées. Le recours doit être rejeté sur ce point.</w:t>
      </w:r>
    </w:p>
    <w:p>
      <w:r>
        <w:rPr>
          <w:b/>
        </w:rPr>
        <w:t>E. 5</w:t>
      </w:r>
    </w:p>
    <w:p>
      <w:r>
        <w:t>Dans sa lettre du 19 juillet 2013 accompagnant son recours, l’avocat Zeiter invite la cour de céans à rémunérer directement l’interprète qui l’a accompagné lors de sa visite au recourant. Cet interprète a adressé à Me Zeiter une lettre faisant état de trois heures de travail, dont deux de trajet dans le véhicule de l’avocat, et communiquant un numéro Iban, mais sans chiffrer son tarif horaire. Comme l’exprime le Tribunal fédéral (TF 2C_18/2007 du 2 juillet 2007, c. 3.2), le droit à la prise en charge des frais d’un interprète au titre de l’assistance judiciaire se déduit du droit d’être entendu, du droit à un procès équitable et du droit à l’assistance judiciaire gratuite garantis de manière générale, dans les procédures judiciaire et administrative, à l’art. 29 Cst. (Constitution fédérale de la Confédération suisse du 18 avril 1999 ; RS 101) (art. 4 a Cst. ; cf. Alexandre Papaux, Droit de langues en matière judiciaire, in : « justice-Justiz-Giustizia », 2006/2, p. 16 ; Michele Albertini, Der vergassungsmässige Anspruch auf rechtliches Gehör im Verwaltungsverfahren des modernen Staates, Berne 2000, p. 343 ; Patrick Wamister, Die unentgeltliche Rechtspflege, die unentfeltliche Verteidigung und der unentgeltliche Dolmetscher unter dem Gesichtspunkt von Art. 4 BV und Art. 6 EMRK, thèse, Bâle 1983, p. 156 et les références citées). L’étendue de ce droit ne se détermine pas de manière abstraite, mais dépend des circonstances concrètes du cas et des besoins effectifs de la personne concernée (ATF 121 I 196 c. 5a, p. 204 ; 118 Ia 462 c. 2, p. 464 ss ; 106 Ia 214 c. 4, p. 216 ss ; pour un cas d’application en matière de droit des étrangers, ATF 112 Ib 161, c. 2c non publié, mais partiellement reproduit in ZBI 88/1987 p. 164). On ne conçoit pas que l’assistance judiciaire requise par le recourant et octroyée à celui-ci sous la forme de la désignation d’un conseil d’office implique d’allouer directement à un interprète une</w:t>
      </w:r>
    </w:p>
    <w:p>
      <w:r>
        <w:t>- 8 - rémunération qui a sa source dans un contrat conclu par cet avocat. Il faut plutôt considérer que cette rémunération correspond à des débours particuliers de l’avocat et les verser à Me Zeiter, à charge pour lui de les transmettre à son cocontractant. Par mesure de simplification et dès lors que l’interprète n’a pas chiffré son tarif horaire, cette rémunération doit être fixée à 180 fr. (3 x 60), plus TVA.</w:t>
      </w:r>
    </w:p>
    <w:p>
      <w:r>
        <w:rPr>
          <w:b/>
        </w:rPr>
        <w:t>E. 6</w:t>
      </w:r>
    </w:p>
    <w:p>
      <w:r>
        <w:t>En définitive, le recours doit être rejeté et l’ordonnance confirmée.</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 Le 17 juillet 2013, le conseil d’office du recourant a annoncé avoir consacré cinq heures quinze à la procédure en cours. Au tarif horaire de 180 fr., une indemnité de 945 fr. paraît équitable (315 x [180 : 60]), plus 75 fr. 60 de TVA, ainsi que 200 fr. de débours, plus 16 fr. de TVA, et 180 fr. de frais d’interprète, plus 14 fr. 40 de TVA, savoir un total de 1'431 francs. L’arrêt peut être rendu sans frais judiciaires (art. 107 al. 1 let. E CPC). Par ces motifs, la Chambre des recours civile du Tribunal cantonal, statuant à huis clos, prononce : I. Le recours est rejeté.</w:t>
      </w:r>
    </w:p>
    <w:p>
      <w:r>
        <w:t>- 9 - II. L'ordonnance est confirmée. III. L'arrêt est rendu sans frais. IV. L’indemnité d’office de Me Lionel Zeiter, conseil du recourant A.________, est arrêtée à 1'431 fr (mille quatre cent trente et un francs), TVA et débours compris. V. L'arrêt motivé est exécutoire. Le président : Le greffier : Du 30 juillet 2013 Le dispositif de l'arrêt qui précède est communiqué par écrit aux intéressés. Le greffier : Du L'arrêt qui précède, dont la rédaction a été approuvée à huis clos, est notifié en expédition complète, par l'envoi de photocopies, à : - Me Lionel Zeiter (pour A.________), - Service de la population, secteur Départs. Le présent arrêt peut faire l'objet d'un recours en matière de droit public devant le Tribunal fédéral au sens des art. 82 ss LTF (loi du 17 juin 2005 sur le Tribunal fédéral - RS 173.110). Ce recours doit être déposé</w:t>
      </w:r>
    </w:p>
    <w:p>
      <w:r>
        <w:t>- 10 -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