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JY11.040130 vom 1. Dezember 2011</w:t>
      </w:r>
    </w:p>
    <w:p>
      <w:r>
        <w:t>VD Tribunal cantonal, 2011-12-01, FR</w:t>
      </w:r>
    </w:p>
    <w:p>
      <w:r>
        <w:rPr>
          <w:b/>
        </w:rPr>
        <w:t xml:space="preserve">Quelle: </w:t>
      </w:r>
      <w:r>
        <w:t>https://mcp.opencaselaw.ch/entscheid/vd_gerichte_JY11.040130</w:t>
      </w:r>
    </w:p>
    <w:p>
      <w:r>
        <w:t>FR: VD_GERICHTE JY11.040130 du 1 décembre 2011</w:t>
      </w:r>
    </w:p>
    <w:p>
      <w:r>
        <w:t>IT: VD_GERICHTE JY11.040130 del 1 dicembre 2011</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juge de paix est l’autorité compétente en vertu des art. 17 et 20 LVLEtr. Il a été saisi d’une requête motivée et documentée du SPOP du 26 octobre 2011. Il a procédé à l’audition du recourant et a résumé ses déclarations dans ce qu’elles avaient d’utile (art. 21 al. 1 et 2 LVLEtr). La procédure suivie a été régulière, ce dont le recourant ne disconvient pas.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t>- 5 -</w:t>
      </w:r>
    </w:p>
    <w:p>
      <w:r>
        <w:rPr>
          <w:b/>
        </w:rPr>
        <w:t>E. 3</w:t>
      </w:r>
    </w:p>
    <w:p>
      <w:r>
        <w:t>a) Le recourant soutient d’abord que la durée de la détention administrative prononcée, soit six mois, est excessive. Il fait valoir que la durée de six mois est la limite supérieure prévue par la loi et qu’une telle durée est disproportionnée dans le cas d’espèce, puisqu’aucune difficulté particulière n’est à prévoir s’agissant de son renvoi. b) Ce moyen est dénué de pertinence, dès lors que le recourant a, selon l’art. 80 al. 5 LEtr, la possibilité de demander sa mise en liberté un mois après que la légalité de sa détention a été examinée.</w:t>
      </w:r>
    </w:p>
    <w:p>
      <w:r>
        <w:rPr>
          <w:b/>
        </w:rPr>
        <w:t>E. 4</w:t>
      </w:r>
    </w:p>
    <w:p>
      <w:r>
        <w:t>a) Le recourant invoque ensuite une violation de l’art. 76 al. 1 let. b LEtr. Les griefs développés dans ce moyen reviennent à examiner si les conditions prévues par les ch. 3 et 4 de cette disposition sont réalisées. Le recourant soutient en effet qu’il est erroné de retenir qu’il ne souhaite pas collaborer à son départ, dès lors qu’il aurait toujours donné suite aux convocations du SPOP, et qu’il n’y a pas lieu de craindre qu’il refuse d’obtempérer à son renvoi.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w:t>
      </w:r>
    </w:p>
    <w:p>
      <w:r>
        <w:t>- 6 -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L'autorité compétente peut également mettre en détention la personne concernée si l'ODM a prononcé une décision de non-entrée en matière au sens de l'art. 32 al. 2 let. a à c ou de l’art. 33 LAsi (art. 76 al. 1 let. b ch. 2 LEtr). Il s'agit là d'un motif objectif dénotant un risque de passage à la clandestinité (TF 2C_963/2010 du 11 janvier 2011 c. 2.3.1 ; TF 2C_956/2010 du 11 janvier 2011 c. 2.3). c) En l’espèce, il ressort des pièces du dossier que le recourant a constamment refusé de retourner dans son pays d’origine, en ne respectant pas la décision de renvoi, puis en refusant de signer, le 11 janvier 2011, une déclaration de retour. Lors de la tentative de refoulement du 9 novembre 2011, le recourant a de surcroît simulé un malaise et adopté un comportement oppositionnel avant d’embarquer dans l’avion qui devait le ramener dans son pays. Ces éléments démontrent, en dépit des dénégations du recourant, que celui-ci refuse de collaborer et qu’il s’efforce d’échapper à la mesure de refoulement dont il est l’objet. Il en découle que la détention administrative du recourant est fondée et que le moyen doit être rejeté.</w:t>
      </w:r>
    </w:p>
    <w:p>
      <w:r>
        <w:t>- 7 -</w:t>
      </w:r>
    </w:p>
    <w:p>
      <w:r>
        <w:rPr>
          <w:b/>
        </w:rPr>
        <w:t>E. 5</w:t>
      </w:r>
    </w:p>
    <w:p>
      <w:r>
        <w:t>a) Le recourant invoque enfin une violation du principe de célérité et de diligence au sens de l’art. 76 al. 4 LEtr. b) Ce moyen est infondé. En effet, il ressort des déterminations du SPOP que les démarches entreprises en vue de l’exécution du renvoi du recourant se poursuivent sans désemparer, un vol escorté étant en voie d’être organisé, ensuite de l’échec du premier vol du</w:t>
      </w:r>
    </w:p>
    <w:p>
      <w:r>
        <w:rPr>
          <w:b/>
        </w:rPr>
        <w:t>E. 9</w:t>
      </w:r>
    </w:p>
    <w:p>
      <w:r>
        <w:t>novembre 2011. Quant au principe de proportionnalité, il est respecté, dès lors que le refoulement du recourant pourra manifestement être exécuté avant l’échéance du délai maximal de détention de dix-huit mois prévu par la loi. 6. En définitive, le recours doit être rejeté et l’ordonnance confirmée. Le présent arrêt peut être rendu sans frais. 7. 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18 novembre 2011, une liste des opérations, dont il ressort qu’elle a consacré 9 heures et 54 minutes à la procédure de recours. Vu l’ampleur de la cause et du travail accompli, il y a lieu de retenir 9 heures et de fixer l’indemnité d’honoraires, compte tenu d’un tarif horaire de 180 fr., à 1'749 fr. 60, TVA comprise. Les débours annoncés, par 96 fr. 25, TVA comprise, peuvent être alloués. Aussi, l’indemnité d’office de Me Aude Bichovsky est arrêtée à 1’845 fr. 85, TVA et débours compris.</w:t>
      </w:r>
    </w:p>
    <w:p>
      <w:r>
        <w:t>- 8 - Par ces motifs, la Chambre des recours civile du Tribunal cantonal, statuant à huis clos, prononce : I. Le recours est rejeté. II. L’ordonnance est confirmée. III. Une indemnité de 1'845 fr. 85 (mille huit cent quarante-cinq francs et huitante-cinq centimes) est allouée à Maître Aude Bichovsky, conseil d’office du recourant. IV. L’arrêt est rendu sans frais. V. L’arrêt motivé est exécutoire. Le président : Le greffier : Du 1er décembre 2011 Le dispositif de l'arrêt qui précède est communiqué par écrit aux intéressés. Le greffier :</w:t>
      </w:r>
    </w:p>
    <w:p>
      <w:r>
        <w:t>- 9 - Du L'arrêt qui précède, dont la rédaction a été approuvée à huis clos, est notifié en expédition complète, par l'envoi de photocopies, à : - Me Aude Bichovsky (pour R.________)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