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JY10.034756 vom 1. Dezember 2010</w:t>
      </w:r>
    </w:p>
    <w:p>
      <w:r>
        <w:t>VD Tribunal cantonal, 2010-12-01, FR</w:t>
      </w:r>
    </w:p>
    <w:p>
      <w:r>
        <w:rPr>
          <w:b/>
        </w:rPr>
        <w:t xml:space="preserve">Quelle: </w:t>
      </w:r>
      <w:r>
        <w:t>https://mcp.opencaselaw.ch/entscheid/vd_gerichte_JY10.034756</w:t>
      </w:r>
    </w:p>
    <w:p>
      <w:r>
        <w:t>FR: VD_GERICHTE JY10.034756 du 1 décembre 2010</w:t>
      </w:r>
    </w:p>
    <w:p>
      <w:r>
        <w:t>IT: VD_GERICHTE JY10.034756 del 1 dicembre 2010</w:t>
      </w:r>
    </w:p>
    <w:p>
      <w:pPr>
        <w:pStyle w:val="Heading2"/>
      </w:pPr>
      <w:r>
        <w:t>Erwägungen</w:t>
      </w:r>
    </w:p>
    <w:p>
      <w:r>
        <w:rPr>
          <w:b/>
        </w:rPr>
        <w:t>E. 1</w:t>
      </w:r>
    </w:p>
    <w:p>
      <w:r>
        <w:t>a) Le recours au Tribunal cantonal est ouvert contre la décision du juge de paix ordonnant la détention administrative (art. 80 al. 1 LEtr [loi fédérale du 16 décembre 2005 sur les étrangers; RS 142.20], art. 30</w:t>
      </w:r>
    </w:p>
    <w:p>
      <w:r>
        <w:t>- 5 - al. 1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Les pièces produites par les parties peuvent être versées au dossier. Déposé en temps utile par le recourant, qui y a intérêt, le recours est recevable (art. 30 al. 2 LVLEtr). b) Le Juge de paix du district de Lausanne, autorité compétente selon les art. 11 et 17 LVLEtr, a procédé, en présence d’un interprète, à l’audition du recourant le 26 octobre 2010, à 14 heures 30, soit dans les vingt-quatre heures ayant suivi sa remise aux autorités cantonales, après la levée de sa détention préventive, intervenue le même jour à 7 heures. Le juge de paix a immédiatement rendu un ordre de détention et fait expédier sa décision motivée pour notification dans les nonante-six heures prescrites par l'art. 16 al. 1 LVLEtr; le recourant a reçu cette décision le 29 octobre suivant (art. 16 al. 1 LVLEtr). Les propos du recourant ont été résumés au procès-verbal (art. 21 al. 2 LVLEtr). A la date de l'audience, F.________ était déjà pourvu d'un conseil d'office en la personne de Me X.________ (art. 24 al. 2 LVLEtr). Le recourant invoque la violation de son droit d’être entendu, plus précisément la violation de son droit d’être assisté d’un avocat, faisant valoir que le Juge de paix a refusé de renvoyer l’audition du 26 octobre 2010, alors que son avocat avait informé celui-ci qu'il ne pourrait se rendre à cette audition, une audience, à laquelle il devait participer</w:t>
      </w:r>
    </w:p>
    <w:p>
      <w:r>
        <w:t>- 6 - étant prévue le jour même à la même heure devant le Tribunal d’arrondissement de la Broye et du Nord vaudois. L’art. 80 LEtr qui traite des modalités de décision du renvoi et d'examen de détention ne fait pas état du rôle de l’avocat. La loi vaudoise d’application de cette loi prévoit, quant à elle, que le mandataire déjà constitué en droit des étrangers doit être avisé de l’interpellation de son mandant et que l’étranger interpellé doit avoir la possibilité de contacter son avocat (art. 15 al. 2 et 3 LVLEtr). En l’espèce, ces règles ont été respectées, puisque le conseil du recourant a été avisé de la tenue de l’audience (art. 23 LVLEtr). Par ailleurs, selon le principe exprimé à l’art. 24 al. 1 LVLEtr, toute personne qui fait l’objet d’une procédure liée à l’application de la présente loi peut se faire assister par un conseil dès l’ouverture de la procédure. Cette possibilité a été offerte au recourant. Cependant, le juge de paix étant tenu d’entendre l’étranger interpellé dans les 24 heures (art. 16 al. 1 LVLEtr), la brièveté de ce délai exclut qu'il fixe l’heure de l’audience ou qu'il renvoie celle-ci en fonction des disponibilités de l'avocat. D’une part, aucune règle n'impose expressément au juge de s’assurer de la disponibilité de l'avocat pour fixer l’audience. D’autre part, l'indisponibilité éventuelle de l'avocat durant l’entier du délai de 24 heures ne peut conduire à la mise en liberté de l’interpellé pour ce seul motif. Cela étant, le conseil du recourant qui, selon ce qui figure sur son papier à lettres, partage une étude avec trois associés et une avocate-stagiaire, pouvait assurément se faire remplacer à l’une de ces deux audiences du 26 octobre. Or, il n’a rien entrepris en ce sens. Dans sa lettre adressée le 26 octobre 2010 au juge de paix, il a fait part de la position de son client, savoir que celui-ci s’opposait à sa détention et mettait en cause l’absence de diligence de l’autorité administrative dans l’accomplissement des démarches de renvoi. Il s'ensuit que, compte tenu de ces circonstances, le droit du recourant de se faire assister par un avocat a été respecté et que celui-ci a pu faire valoir par écrit les moyens de son client. En outre, si le conseil était, le cas échéant, empêché de se rendre à l'audience du 26 octobre</w:t>
      </w:r>
    </w:p>
    <w:p>
      <w:r>
        <w:t>- 7 - 2010 devant le juge de paix parce qu'il avait une autre audience à ce moment-là, il lui appartenait de se faire remplacer. La procédure suivie par le juge de paix a par conséquent été régulière; le droit d’être entendu du recourant a été respecté.</w:t>
      </w:r>
    </w:p>
    <w:p>
      <w:r>
        <w:rPr>
          <w:b/>
        </w:rPr>
        <w:t>E. 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33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(TF 2C_743/2009 du 7 décembre 2009; Göksu, Bundesgesetz uber die Ausländerinnen und Ausländer, Berne 2010 n° 11 à 13 ad art. 76 LEtr).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TF 2C_356/2009 du 7 juillet 2009 c. 5.1). Il s'agit là de conditions alternatives et non cumulatives. Dans le cas d’espèce, le recourant, qui fait l’objet d’une décision définitive et exécutoire de refus d’asile et de renvoi, a refusé de signer une déclaration de retour volontaire le 22 septembre 2010, après</w:t>
      </w:r>
    </w:p>
    <w:p>
      <w:r>
        <w:t>- 8 - l’obtention d’un laisser-passer géorgien. Lors de son audition par le premier juge, il a déclaré souhaiter quitter la Suisse, mais refuser de retourner en Géorgie, alors même qu’il ne dispose pas d’un passeport ou d’un autre titre de transport lui permettant de se rendre légalement sur le territoire d’un Etat tiers. Le 5 novembre 2010, il a déclaré vouloir entamer une grève de la faim et de la soif pour obtenir d’être libéré en vue de se rendre en France par ses propres moyens. Le 11 novembre 2010, escorté par la police à l’aéroport, il a refusé d’embarquer à bord d’un avion à destination de Tbilissi, allant jusqu’à se cramponner aux rampes d’accès de l’escalier. Les circonstances susdécrites démontrent que le recourant présente un risque concret de fuite. Non seulement, il n’a pas collaboré à l’obtention de documents d’identité et a exprimé son refus de rentrer chez lui en émettant des conditions de destination vers des Etats tiers impossibles à satisfaire légalement, mais il a également manifesté sa claire résolution de demeurer en Suisse en s'opposant physiquement à son embarquement dans l'avion qui devait le ramener chez lui. Ces éléments constituent un faisceau d’indices concrets et suffisants de sa volonté de se soustraire au renvoi. Quant au refus de collaborer, le recourant prétend démontrer qu'il est prêt à quitter la Suisse en faisant état de sa tentative de se rendre en juillet 2010 aux Pays-Bas, tentative qui s’est soldée par son renvoi forcé en Suisse en application du règlement CE 343/2003. Le fait pour un individu de se rendre ouvertement ou clandestinement dans un Etat tiers qui est tenu de le renvoyer en Suisse en application dudit règlement et alors que son renvoi ne peut s’opérer, au vu du document de voyage obtenu, que vers son pays d’origine, revient toutefois matériellement à refuser de quitter la Suisse et de se conformer au renvoi. Les circonstances dont le recourant se prévaut pour tenter de démontrer qu'il ne s'oppose pas à son renvoi sont par conséquent sans pertinence. Pour le surplus, le principe de proportionnalité est respecté. Le SPOP a obtenu un laissez-passer et, le 17 novembre 2010, a inscrit F.________ à bord du prochain vol spécial qui devait partir pour Tbilissi. Le renvoi de F.________ dans son pays devrait par conséquent intervenir dans</w:t>
      </w:r>
    </w:p>
    <w:p>
      <w:r>
        <w:t>- 9 - les meilleurs délais (art. 76 al. 4 LEtr). Au demeurant, l'exécution du renvoi ne s’avère pas d’emblée impossible pour des raisons juridiques ou matérielles (art. 80 al. 6 let. a LEtr a contrario).</w:t>
      </w:r>
    </w:p>
    <w:p>
      <w:r>
        <w:rPr>
          <w:b/>
        </w:rPr>
        <w:t>E. 3</w:t>
      </w:r>
    </w:p>
    <w:p>
      <w:r>
        <w:t>Il s'ensuit que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w:t>
      </w:r>
    </w:p>
    <w:p>
      <w:r>
        <w:t>- 10 - Du 1er décembre 2010 Le dispositif de l'arrêt qui précède est communiqué par écrit aux intéressés. La greffière : Du L'arrêt qui précède, dont la rédaction a été approuvée à huis clos, est notifié en expédition complète, par l'envoi de photocopies, à : - Me X.________ (pour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