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JY09.026576 vom 7. September 2009</w:t>
      </w:r>
    </w:p>
    <w:p>
      <w:r>
        <w:t>VD Tribunal cantonal, 2009-09-07, FR</w:t>
      </w:r>
    </w:p>
    <w:p>
      <w:r>
        <w:rPr>
          <w:b/>
        </w:rPr>
        <w:t xml:space="preserve">Quelle: </w:t>
      </w:r>
      <w:r>
        <w:t>https://mcp.opencaselaw.ch/entscheid/vd_gerichte_JY09.026576</w:t>
      </w:r>
    </w:p>
    <w:p>
      <w:r>
        <w:t>FR: VD_GERICHTE JY09.026576 du 7 septembre 2009</w:t>
      </w:r>
    </w:p>
    <w:p>
      <w:r>
        <w:t>IT: VD_GERICHTE JY09.026576 del 7 settembre 2009</w:t>
      </w:r>
    </w:p>
    <w:p>
      <w:pPr>
        <w:pStyle w:val="Heading2"/>
      </w:pPr>
      <w:r>
        <w:t>Erwägungen</w:t>
      </w:r>
    </w:p>
    <w:p>
      <w:r>
        <w:rPr>
          <w:b/>
        </w:rPr>
        <w:t>E. 7</w:t>
      </w:r>
    </w:p>
    <w:p>
      <w:r>
        <w:t>En conclusion, le recours doit être rejeté et l'ordonnance confirmée. L'arrêt peut être rendu sans frais.</w:t>
      </w:r>
    </w:p>
    <w:p>
      <w:r>
        <w:t>- 10 - Par ces motifs, la Chambre des recours du Tribunal cantonal, statuant à huis clos, prononce : I. Le recours est rejeté. II. L'ordonnance est confirmée. III. Il n'est pas perçu de frais. IV. L'arrêt motivé est exécutoire. Le président : Le greffier : Du 7 septembre 2009 Le dispositif de l'arrêt qui précède est communiqué par écrit aux intéressés. Le greffier : Du L'arrêt qui précède, dont la rédaction a été approuvée à huis clos, est notifié en expédition complète, par l'envoi de photocopies, à : - Me Jérôme Bénédict (pour V.________), - Service de la population, Secteur Départs.</w:t>
      </w:r>
    </w:p>
    <w:p>
      <w:r>
        <w:t>- 11 -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