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JY09.025603 vom 10. September 2009</w:t>
      </w:r>
    </w:p>
    <w:p>
      <w:r>
        <w:t>VD Tribunal cantonal, 2009-09-10, FR</w:t>
      </w:r>
    </w:p>
    <w:p>
      <w:r>
        <w:rPr>
          <w:b/>
        </w:rPr>
        <w:t xml:space="preserve">Quelle: </w:t>
      </w:r>
      <w:r>
        <w:t>https://mcp.opencaselaw.ch/entscheid/vd_gerichte_JY09.025603</w:t>
      </w:r>
    </w:p>
    <w:p>
      <w:r>
        <w:t>FR: VD_GERICHTE JY09.025603 du 10 septembre 2009</w:t>
      </w:r>
    </w:p>
    <w:p>
      <w:r>
        <w:t>IT: VD_GERICHTE JY09.025603 del 10 settembre 2009</w:t>
      </w:r>
    </w:p>
    <w:p>
      <w:pPr>
        <w:pStyle w:val="Heading2"/>
      </w:pPr>
      <w:r>
        <w:t>Erwägungen</w:t>
      </w:r>
    </w:p>
    <w:p>
      <w:r>
        <w:rPr>
          <w:b/>
        </w:rPr>
        <w:t>E. 1</w:t>
      </w:r>
    </w:p>
    <w:p>
      <w:r>
        <w:t>L'entrée en vigueur, le 1er janvier 2008, de la LEtr (loi fédérale du 16 décembre 2005 sur les étrangers; RS 142.20) a entraîné</w:t>
      </w:r>
    </w:p>
    <w:p>
      <w:r>
        <w:t>- 4 - l'abrogation de la LSEE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1er janvier 2007 à l'occasion de la modification de la loi sur l'asile du 16 décembre 2005 (sur ce point, cf. ATF 133 II 1, c. 4.2).</w:t>
      </w:r>
    </w:p>
    <w:p>
      <w:r>
        <w:rPr>
          <w:b/>
        </w:rPr>
        <w:t>E. 2</w:t>
      </w:r>
    </w:p>
    <w:p>
      <w:r>
        <w:t>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w:t>
      </w:r>
    </w:p>
    <w:p>
      <w:r>
        <w:rPr>
          <w:b/>
        </w:rPr>
        <w:t>E. 3</w:t>
      </w:r>
    </w:p>
    <w:p>
      <w:r>
        <w:t>La juge de paix, autorité compétente en vertu de l'art. 17 LVLEtr, a procédé à l'audition du recourant le jour même de son interpellation, le 27 juillet 2009, soit dans le délai légal de vingt-quatre heures; elle a immédiatement rendu un ordre de détention, puis sa décision motivée dans les nonante-six heures (art. 16 LVLEtr). Elle a résumé les propos du recourant (art. 21 al. 2 LVLEtr). Celui-ci, qui n'était pas assisté lors de son audition, n'a pas, par le biais de son conseil d'office désigné le 14 août 2009, invoqué un défaut d'assistance (art. 24 al. 2 LVLEtr). La procédure suivie en première instance a par conséquent été régulière.</w:t>
      </w:r>
    </w:p>
    <w:p>
      <w:r>
        <w:t>- 5 -</w:t>
      </w:r>
    </w:p>
    <w:p>
      <w:r>
        <w:rPr>
          <w:b/>
        </w:rPr>
        <w:t>E. 4</w:t>
      </w:r>
    </w:p>
    <w:p>
      <w:r>
        <w:t>a) Selon l'art. 76 al. 1 let. b LEtr, lorsqu'une décision de renvoi ou d'expulsion de première instance a été notifiée, l'autorité compétente peut, afin d'en assurer l'exécution, mettre la personne concernée en détention, notamment lorsque des éléments concrets font craindre qu'elle entende se soustraire à son renvoi ou à son expulsion, par exemple, parce qu'elle ne se soumet pas à son obligation de collaborer, en vertu de l'art. 90 LEtr ou de l'art. 8 al. 1 let. a ou al. 4 LAsi (ch. 3), ou parce que son comportement permet de conclure qu'elle se refusera à obtempérer aux instructions des autorités (ch. 4). Cette disposition correspond pour l'essentiel à l'art. 13b aLSEE, qu'elle précise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Il 56 c. 3). b) En l'espèce, le recourant est dépourvu d’une autorisation de séjour, son recours au Tribunal administratif fédéral contre le rejet de sa requête d’asile et son renvoi de Suisse ayant été déclaré irrecevable. Il n’a pas respecté le délai de départ qui lui avait été fixé au 13 mai 2009. Entendu le 25 mai 2009 par le SPOP, il a déclaré qu’il refusait de quitter la Suisse, qu’il préférait se suicider plutôt que de retourner au Kosovo et qu’il était prêt à collaborer avec les autorités "mais pas pour partir". On pouvait ainsi craindre qu’il veuille se soustraire au renvoi. D’ailleurs, cette crainte s’est révélée fondée, puisque le 5 août 2009, alors même qu'il avait indiqué à l'audience de la juge de paix être totalement prêt à collaborer en vue de son renvoi "pourvu qu'il reste libre", le recourant et son épouse, accompagnés de leur enfant, ont refusé d’embarquer à bord d’un vol à destination du Kosovo. Pour le surplus, le recourant, qui avait déclaré à un autre moment être prêt à quitter la Suisse pour un autre pays que le</w:t>
      </w:r>
    </w:p>
    <w:p>
      <w:r>
        <w:t>- 6 - Kosovo, n'a jamais produit de titre de séjour ou autre document susceptible d'attester qu'il puisse séjourner légalement dans un autre pays. Les conditions de l'art. 69 al. 2 LEtr ne sont manifestement pas réalisées. Celles de l’art. 76 al. 1 let. b LEtr l'étaient ainsi pleinement et justifiaient la mesure ordonnée. c) Le recourant prétend que sa situation de famille ferait obstacle à sa détention: il entend demeurer auprès de son épouse et de son fils, celui-ci étant atteint d’une furonculose. La prise en compte de la situation familiale relève en premier lieu de la compétence des autorités de renvoi et les décisions prises à cet égard n’apparaissent pas manifestement nulles (ATF 128 Il 193, c. 2; ATF 125 Il 217, c. 2). Au surplus, eu égard à la circonstance invoquée, il n’est pas disproportionné d’imposer au recourant une détention dès lors que sa détermination à ne pas quitter la Suisse ne permet pas d’exclure qu’il cherche à gagner la clandestinité pour échapper à un renvoi. Quant au fait qu’il est durement éprouvé d’un point de vue psychologique par cette détention, il ne justifie pas de la lever, puisqu’elle représente le seul moyen d’assurer le caractère effectif du renvoi. L'avis de la Ligue suisse des droits de l'homme n'est dès lors pas déterminant. d) Le SPOP relève par ailleurs que des démarches ont été entreprises avec succès pour l’obtention d’un laissez-passer pour le Kosovo, vu l’échéance du passeport du recourant. Le maintien en détention apparaît ainsi justifié en l’état, toujours sous l’angle de la proportionnalité, le renvoi apparaissant envisageable dans un délai prévisible (cf. art. 80 al. 6 LEtr ; ATF 130 II 56 c. 4.1.3). e) Le recourant a sollicité la faculté de déposer une écriture supplémentaire au sujet des déterminations du SPOP. Selon l’art. 81 al. 3 LPA-VD, auquel renvoie l’art. 31 LVLEtr, c’est exceptionnellement qu’un second échange d’écritures peut être ordonné, notamment lorsqu’une autre partie apporte des éléments nouveaux dans ses déterminations. Un tel délai a été accordé au recourant pour se déterminer sur la lettre du SPOP. U.________ n'en a cependant pas fait usage.</w:t>
      </w:r>
    </w:p>
    <w:p>
      <w:r>
        <w:t>- 7 -</w:t>
      </w:r>
    </w:p>
    <w:p>
      <w:r>
        <w:rPr>
          <w:b/>
        </w:rPr>
        <w:t>E. 5</w:t>
      </w:r>
    </w:p>
    <w:p>
      <w:r>
        <w:t>Il s'ensuit que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w:t>
      </w:r>
    </w:p>
    <w:p>
      <w:r>
        <w:t>- 8 - Du 10 septembre 2009 Le dispositif de l'arrêt qui précède est communiqué par écrit aux intéressés. Le greffier : Du L'arrêt qui précède, dont la rédaction a été approuvée à huis clos, est notifié en expédition complète, par l'envoi de photocopies, à : - Me Guy Longchamp, avocat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