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JY09.017145 vom 12. Juni 2009</w:t>
      </w:r>
    </w:p>
    <w:p>
      <w:r>
        <w:t>VD Tribunal cantonal, 2009-06-12, FR</w:t>
      </w:r>
    </w:p>
    <w:p>
      <w:r>
        <w:rPr>
          <w:b/>
        </w:rPr>
        <w:t xml:space="preserve">Quelle: </w:t>
      </w:r>
      <w:r>
        <w:t>https://mcp.opencaselaw.ch/entscheid/vd_gerichte_JY09.017145</w:t>
      </w:r>
    </w:p>
    <w:p>
      <w:r>
        <w:t>FR: VD_GERICHTE JY09.017145 du 12 juin 2009</w:t>
      </w:r>
    </w:p>
    <w:p>
      <w:r>
        <w:t>IT: VD_GERICHTE JY09.017145 del 12 giugno 2009</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sur les étrangers du 16 décembre 2005; RS 142.20]; art. 30 LVLEtr [Loi du 18 décembre 2007 d'application dans le Canton de Vaud de la législation fédérale sur les étrangers; RSV 142.11]). II est de la compétence de la Chambre des recours (art. 71 et 73 LOJV [Loi vaudoise d'organisation judiciaire; RSV 173.01] et art. 20 al. 2 let. c ROTC [Règlement organique du Tribunal cantonal du 13 novembre</w:t>
      </w:r>
    </w:p>
    <w:p>
      <w:r>
        <w:t>- 4 - 2007;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w:t>
      </w:r>
    </w:p>
    <w:p>
      <w:r>
        <w:rPr>
          <w:b/>
        </w:rPr>
        <w:t>E. 2</w:t>
      </w:r>
    </w:p>
    <w:p>
      <w:r>
        <w:t>La décision attaquée a été rendue à la suite d'une demande de levée de détention. A cet égard, l'art. 80 al. 5 LEtr prévoit que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l'article 75, ou de deux mois si elle est détenue en vertu de l'article 76". Quant à l'art. 18 al. 1 LVLEtr, il précise que la personne détenue peut demander au juge sa mise en liberté en tout temps dès la fin du premier mois de détention. Le juge de paix, compétent selon l'article 17 LVLEtr, a été saisi d'une requête du 8 mai 2009. Il a tenu audience le 13 mai suivant, au cours de laquelle il a entendu le recourant et son conseil. Il a rendu sa décision le même jour. Le délai de huit jours prévu à l'art. 80 al. 5 LEtr a ainsi en tout état de cause été respecté, sans qu'il importe d'examiner plus avant les conséquences du fait que la requête était prématurée au regard du délai d'un mois de l'art. 80 al. 5 LEtr. Par ailleurs, les déclarations du recourant ont été résumées. La procédure suivie est conforme à l'art. 21 LVLEtr.</w:t>
      </w:r>
    </w:p>
    <w:p>
      <w:r>
        <w:rPr>
          <w:b/>
        </w:rPr>
        <w:t>E. 3</w:t>
      </w:r>
    </w:p>
    <w:p>
      <w:r>
        <w:t>a) Le premier juge a considéré en substance que la décision de l'ODM du 2 avril 2009 justifiait le maintien en détention de P.________, pour une durée de trois mois.</w:t>
      </w:r>
    </w:p>
    <w:p>
      <w:r>
        <w:t>- 5 - Le recourant fait valoir qu'après sa mise en détention par ordonnance du Juge de paix du 6 février 2009, trois mois se sont écoulés, à l'issue desquels aucune prolongation de cette détention n'a été requise par le SPOP. L'art. 76 al. 3 LEtr, selon lequel la durée de la détention ne peut excéder trois mois, aurait ainsi été violé et il n'existerait plus de titre à la détention dès le 6 mai 2009. Pour le SPOP, l'ordonnance du 6 février 2009 a été fondée notamment sur l'art. 75 al. 1 let. g LEtr, qui prévoit une détention en phase préparatoire pour une durée maximale de six mois lorsque l'étranger "menace sérieusement d'autres personnes ou met gravement en danger leur vie ou leur intégrité corporelle et fait l'objet d'une poursuite pénale ou a été condamnée pour ce motif", de sorte qu'il n'avait pas à requérir une prolongation de la détention après trois mois seulement. b) Lorsque la détention est ordonnée en application de l'art. 76 al. 1 let. b ch. 3 et 4 LEtr, sa durée ne peut excéder trois mois (art. 76 al. 3 LEtr); si des obstacles particuliers s'opposent à l'exécution du renvoi ou de l'expulsion elle peut, avec l'accord de l'autorité judiciaire cantonale, être prolongée de quinze mois au plus. Le délai fixé en mois se calcule de quantième en quantième, par référence à l'art. 110 al. 6 CP, à partir du moment où l'étranger est détenu à titre administratif (cf. ATF 127 II 174 consid. 2b/bb p. 176). La décision du Juge de paix ne contient aucune indication quant à la durée de la détention prévue. Comme l'a relevé le Tribunal fédéral, l'absence d'indication quant à la durée de la détention ne suffit pas à qualifier celle-ci d'inadmissible (arrêts 2C_575/2008 du 1er septembre 2008 consid. 5.3 et 2C_206/2009 du 29 avril 2009 consid. 6). Néanmoins, dans la mesure où il s'agit de pouvoir vérifier le respect des délais légaux, il est indiqué que le juge de paix fixe la durée de la détention initiale, sous réserve d'une prolongation remplissant les conditions de l'art. 76 al. 3 LEtr. c) Comme on le lit dans l'arrêt de la Chambre des recours du 2 avril 2009 statuant sur un recours de P.________ contre l'ordonnance du juge de paix susmentionnée, celle-ci a été fondée tant sur l'art. 75 al. 1 let. g LEtr que sur l'art. 76 al. 1 let. b ch. 3 LEtr. C'est cependant en</w:t>
      </w:r>
    </w:p>
    <w:p>
      <w:r>
        <w:t>- 6 - application de cette seule dernière disposition que la Cour de céans a confirmé cette ordonnance; elle a considéré au surplus qu'il n'était pas nécessaire d'examiner la validité de la détention au regard de l'art. 76 al. 1 let. b ch. 1 LEtr, qui renvoie à l'art. 75 al. 1 let. g LEtr. En revanche, dans son arrêt du 29 avril 2009, rendu à la suite du refus de mise en liberté de P.________, la Chambre des recours a expressément admis que, le recourant ayant été placé en détention préventive et faisant l'objet d'une enquête pénale pour vol en bande et par métier, il menaçait sérieusement d'autres personnes au sens de l'art. 75 al. 1 let. g LEtr. La Cour a encore précisé à cette occasion qu'il importait peu qu'aucune condamnation n'ait été prononcée, dès lors qu'il suffisait qu'une poursuite pénale soit pendante pour justifier une détention pour ce motif. Cela étant, le SPOP pouvait admettre que le motif de l'art. 75 al. 1 let. g LEtr était réalisé et que la détention initiale était de six mois. On ne saurait ici réexaminer la question du bien-fondé du motif de la détention de l'art. 75 al. 1 let. g LEtr pour en conclure que la détention initiale ne pouvait en réalité durer que trois mois et donc qu'il n'y avait plus de titre de détention dès le 6 mai 2009. d) Par surabondance, même si le cas de l'art. 75 al. 1 let. g LEtr n'était pas réalisé et que la détention du recourant était injustifiée entre les 6 et 13 mai 2009, c'est néanmoins à juste titre que le premier juge a ordonné la maintien en détention pour trois mois dès cette date. Il avait en effet la faculté, comme prévu à l'art. 76 al. 1 let. b ch. 2 LEtr, de "mettre en détention" le recourant dès lors que celui-ci avait fait l'objet, le 2 avril 2009, d'une décision de l'ODM de non-entrée en matière au sens de cette disposition. Il existait ainsi un nouveau titre de détention pour ordonner cette dernière. Ce n'est certes pas expressément qu'il a ordonné cette mise en détention puisqu'il s'est borné dans le dispositif de la décision attaquée à rejeter la demande de liberté formée par le recourant. Mais, vu la présence de celui-ci en détention, il n'y aurait eu guère de sens à ordonner formellement une mise en détention qu'il suffisait de maintenir. D'ailleurs, la jurisprudence de la Cour de céans admet qu'une détention administrative soit prononcée à raison de faits nouveaux, même après que l'intéressé a été libéré immédiatement d'une précédente</w:t>
      </w:r>
    </w:p>
    <w:p>
      <w:r>
        <w:t>- 7 - détention (CREC, M., 3 mai 2006/283). Il doit en aller de même si l'intéressé est toujours détenu, même sans titre.</w:t>
      </w:r>
    </w:p>
    <w:p>
      <w:r>
        <w:rPr>
          <w:b/>
        </w:rPr>
        <w:t>E. 4</w:t>
      </w:r>
    </w:p>
    <w:p>
      <w:r>
        <w:t>Le recourant prétend que le juge de paix n'aurait pas été habilité à se substituer au SPOP dans sa tâche de dénonciation des personnes susceptibles d'être détenues en vue de renvoi. Il est vrai que, selon l'art. 15 LVLEtr, c'est sur réquisition du service, à savoir le SPOP (art. 3 LVLEtr), que l'étranger est retenu par la police pour être mis à disposition du juge de paix. Mais rien n'empêche que celui-ci, autorité compétente pour ordonner une détention (art. 17 LVLEtr), agisse de son propre chef lorsqu'une personne est déjà retenue.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w:t>
      </w:r>
    </w:p>
    <w:p>
      <w:r>
        <w:t>- 8 - Le président : Le greffier : Du 12 juin 2009 Le dispositif de l'arrêt qui précède est communiqué par écrit aux intéressés. Le greffier : Du L'arrêt qui précède, dont la rédaction a été approuvée à huis clos, est notifié en expédition complète, par l'envoi de photocopies, à : - Me Flore Primault (pour P.________), - Service de la population, Division Asile (11.07.1982).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