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JX25.009286 vom 4. Juni 2025</w:t>
      </w:r>
    </w:p>
    <w:p>
      <w:r>
        <w:t>VD Tribunal cantonal, 2025-06-04, FR</w:t>
      </w:r>
    </w:p>
    <w:p>
      <w:r>
        <w:rPr>
          <w:b/>
        </w:rPr>
        <w:t xml:space="preserve">Quelle: </w:t>
      </w:r>
      <w:r>
        <w:t>https://mcp.opencaselaw.ch/entscheid/vd_gerichte_JX25.009286</w:t>
      </w:r>
    </w:p>
    <w:p>
      <w:r>
        <w:t>FR: VD_GERICHTE JX25.009286 du 4 juin 2025</w:t>
      </w:r>
    </w:p>
    <w:p>
      <w:r>
        <w:t>IT: VD_GERICHTE JX25.009286 del 4 giugno 2025</w:t>
      </w:r>
    </w:p>
    <w:p>
      <w:pPr>
        <w:pStyle w:val="Heading2"/>
      </w:pPr>
      <w:r>
        <w:t>Erwägungen</w:t>
      </w:r>
    </w:p>
    <w:p>
      <w:r>
        <w:rPr>
          <w:b/>
        </w:rPr>
        <w:t>E. 7</w:t>
      </w:r>
    </w:p>
    <w:p>
      <w:r>
        <w:t>Il s’ensuit que le recours, manifestement infondé, doit être rejeté au sens de l’art. 322 al. 1 in fine CPC et le prononcé du 9 mai 2025 doit être confirmé. Partant, la requête d’effet suspensif est sans objet. L’arrêt peut être rendu sans frais judiciaires de deuxième instance (art. 11 TFJC [tarif des frais judiciaires civils du 28 septembre 2010 ; BLV 270.11.5]). Il ne sera pas alloué de dépens de deuxième instance, dès lors que Q.________ et la N.________ n’ont pas été invitées à se déterminer. Par ces motifs, la Chambre des recours civile du Tribunal cantonal, en application de l'art. 322 al. 1 CPC, prononce : I. Le recours est rejeté. II. La requête d’effet suspensif est sans objet. III. Le prononcé du 9 mai 2025 est confirmé.</w:t>
      </w:r>
    </w:p>
    <w:p>
      <w:r>
        <w:t>- 8 - IV. L’arrêt, rendu sans frais de deuxième instance, est exécutoire. La présidente : La greffière : Du L'arrêt qui précède est notifié en expédition complète, par l'envoi de photocopies, à : - M. Z.________, - Mme Q.________, - Mme Laura Emilia Jaatinen, aab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