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JX25.000592 vom 18. März 2025</w:t>
      </w:r>
    </w:p>
    <w:p>
      <w:r>
        <w:t>VD Tribunal cantonal, 2025-03-18, FR</w:t>
      </w:r>
    </w:p>
    <w:p>
      <w:r>
        <w:rPr>
          <w:b/>
        </w:rPr>
        <w:t xml:space="preserve">Quelle: </w:t>
      </w:r>
      <w:r>
        <w:t>https://mcp.opencaselaw.ch/entscheid/vd_gerichte_JX25.000592</w:t>
      </w:r>
    </w:p>
    <w:p>
      <w:r>
        <w:t>FR: VD_GERICHTE JX25.000592 du 18 mars 2025</w:t>
      </w:r>
    </w:p>
    <w:p>
      <w:r>
        <w:t>IT: VD_GERICHTE JX25.000592 del 18 marzo 2025</w:t>
      </w:r>
    </w:p>
    <w:p>
      <w:pPr>
        <w:pStyle w:val="Heading2"/>
      </w:pPr>
      <w:r>
        <w:t>Erwägungen</w:t>
      </w:r>
    </w:p>
    <w:p>
      <w:r>
        <w:rPr>
          <w:b/>
        </w:rPr>
        <w:t>E. 1</w:t>
      </w:r>
    </w:p>
    <w:p>
      <w:r>
        <w:t>Par ordonnance du 28 novembre 2024, le juge de paix a notamment ordonné au recourant de quitter et rendre libres pour le 6 janvier 2025 les locaux occupés (un appartement de trois pièces et une cave) dans l’immeuble sis [...], propriété des intimées. Le recourant n’a pas quitté les locaux dans le délai imparti.</w:t>
      </w:r>
    </w:p>
    <w:p>
      <w:r>
        <w:rPr>
          <w:b/>
        </w:rPr>
        <w:t>E. 1.1</w:t>
      </w:r>
    </w:p>
    <w:p>
      <w:r>
        <w:t>Selon l’art. 319 let. b ch. 1 CPC,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2ème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A moins que la loi n’en dispose autrement, le délai est de dix jours pour les décisions prises en procédure sommaire (art. 321 al. 2 CPC). Tel est le cas pour les procédures d’exécution forcée, conformément à l’art. 339 al. 2 CPC.</w:t>
      </w:r>
    </w:p>
    <w:p>
      <w:r>
        <w:rPr>
          <w:b/>
        </w:rPr>
        <w:t>E. 1.2</w:t>
      </w:r>
    </w:p>
    <w:p>
      <w:r>
        <w:t>En l’espèce, l’acte du 17 février 2025, qui doit être considéré comme un recours, a été envoyé au juge de paix le 21 février 2025, soit dans les dix jours suivant la notification du prononcé du 11 février 2025. Partant, interjeté en temps utile par une partie disposant d’un intérêt digne de protection (art. 59 al. 2 let. a CPC), le recours est recevable. 2.</w:t>
      </w:r>
    </w:p>
    <w:p>
      <w:r>
        <w:rPr>
          <w:b/>
        </w:rPr>
        <w:t>E. 2</w:t>
      </w:r>
    </w:p>
    <w:p>
      <w:r>
        <w:t>a) Par courrier du 6 janvier 2025, les intimées ont requis, par leur avocat, l’exécution forcée de l’ordonnance d’expulsion. b) Par avis du 8 janvier 2025, le juge de paix a informé le recourant qu’il serait procédé à l’exécution forcée de l’expulsion en date du 13 février 2025.</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w:t>
      </w:r>
    </w:p>
    <w:p>
      <w:r>
        <w:t>- 5 -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En procédure de recours, les conclusions, les allégations de faits et les preuves nouvelles sont irrecevables (art. 326 CPC).</w:t>
      </w:r>
    </w:p>
    <w:p>
      <w:r>
        <w:rPr>
          <w:b/>
        </w:rPr>
        <w:t>E. 3</w:t>
      </w:r>
    </w:p>
    <w:p>
      <w:r>
        <w:t>Par courrier du 11 février 2025, les intimées ont informé le juge de paix que le recourant avait vidé les locaux et requéraient par conséquent l’annulation de l’exécution forcée ainsi qu’une décision sur les frais et dépens. En d roit : 1.</w:t>
      </w:r>
    </w:p>
    <w:p>
      <w:r>
        <w:t>- 4 -</w:t>
      </w:r>
    </w:p>
    <w:p>
      <w:r>
        <w:rPr>
          <w:b/>
        </w:rPr>
        <w:t>E. 3.1</w:t>
      </w:r>
    </w:p>
    <w:p>
      <w:r>
        <w:t>Le recourant invoque son incapacité à restituer les locaux dans les délais impartis pour des raisons de santé, ses efforts pour tenter de trouver une solution à l’amiable avec les intimées ainsi que sa situation financière difficile pour justifier l’exonération des frais judiciaires et des dépens de la procédure d’exécution forcée.</w:t>
      </w:r>
    </w:p>
    <w:p>
      <w:r>
        <w:rPr>
          <w:b/>
        </w:rPr>
        <w:t>E. 3.2.1</w:t>
      </w:r>
    </w:p>
    <w:p>
      <w:r>
        <w:t>L'art. 106 CPC énonce les règles applicables à la répartition des frais entre les parties : l'alinéa premier pose le principe général selon lequel les frais – soit les frais judiciaires et les dépens (art. 95 al. 1 CPC) – sont mis à la charge de la « partie succombante » (TF 5D_15/2013 du 5 février 2013 consid. 4.3.1). Les dépens sont une indemnité de procédure mise à la charge d'un plaideur en faveur de l'autre pour le dédommager des dépenses ou du manque à gagner occasionné par le procès (Tappy, CR-CPC, n. 21 ad art. 95 CPC). Le principe selon lequel les frais doivent être répartis selon l'issue du procès repose sur l'idée que les frais doivent être supportés par celui qui les a occasionnés, étant présumé que tel est le cas de la partie qui succombe (ATF 145 III 153 consid. 3.3.1 ; ATF 119 la 1 consid. 6b).</w:t>
      </w:r>
    </w:p>
    <w:p>
      <w:r>
        <w:t>- 6 -</w:t>
      </w:r>
    </w:p>
    <w:p>
      <w:r>
        <w:rPr>
          <w:b/>
        </w:rPr>
        <w:t>E. 3.2.2</w:t>
      </w:r>
    </w:p>
    <w:p>
      <w:r>
        <w:t>Lors de la répartition des frais en cas de procédure devenue sans objet, il convient, dans l'exercice du pouvoir d'appréciation découlant de l'art. 107 al. 1 let. e CPC, de prendre en compte quelle partie a donné lieu à la procédure, l'issue prévisible de celle-ci et les motifs qui ont conduit à la rendre sans objet (ATF 142 V 551 consid. 8.2 ; TF 5A_717/2020 du 2 juin 2021 consid. 4.2.1.1). Il n'y a pas d'ordre de priorité entre ces divers critères. Ils ne doivent pas non plus nécessairement être examinés cumulativement ; il faut au contraire déterminer, selon les circonstances du cas concret, quel(s) critère(s) est (sont) le mieux adapté(s) à la situation (TF 5A_717/2020 précité). Selon la situation, il est cependant admis que l'on s'oriente d'abord sur certains critères, par exemple l'issue prévisible du litige (ATF 142 V 551 précité loc. cit. ; TF 4A_24/2019 du 26 février 2019 consid. 1.1 ; TF 5A_78/2018 du 14 mai 2018 consid. 2.3.1).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Selon la jurisprudence de la Chambre de céans, tel est notamment le cas du locataire qui libère les locaux après le dépôt de la requête d’expulsion forcée mais avant la date fixée pour cette dernière (CREC 2 juin 2023/111 consid. 3.2.3 ; CREC 17 janvier 2022/16 consid. 3.2.2).</w:t>
      </w:r>
    </w:p>
    <w:p>
      <w:r>
        <w:rPr>
          <w:b/>
        </w:rPr>
        <w:t>E. 3.3</w:t>
      </w:r>
    </w:p>
    <w:p>
      <w:r>
        <w:t>En l’espèce, il est établi que le recourant a restitué les clés de l’appartement qu’il occupait le 11 février 2025 seulement, soit après la requête d’exécution forcée du 6 février 2025 et l’avis du juge de paix du 8 février 2025. Il en résulte que c’est donc bien le recourant qui a provoqué l’ouverture de la procédure d’exécution forcée. Il doit ainsi, conformément à la jurisprudence rappelée ci-dessus, en assumer les frais. L’art. 107 al. 1 let. e CPC ne permet pas d’aboutir à un autre résultat, étant encore précisé que le recourant ne dénonce pas une violation de cette disposition. Les motifs qu’il invoque, à savoir son incapacité de travail et ses tentatives de règlement du litige à l’amiable, si tant est que</w:t>
      </w:r>
    </w:p>
    <w:p>
      <w:r>
        <w:t>- 7 - recevables (cf. art. 326 CPC), sont dépourvus de pertinence dans le cadre de la fixation des frais. Le recourant savait en effet depuis le 28 novembre 2024, date de l’ordonnance d’expulsion, qu’il devait restituer les locaux occupés et ne démontre pas avoir été dans l’impossibilité totale de s’occuper de son déménagement. Preuve en est qu’il a finalement pu libérer les locaux, avec l’aide de sa famille, avant la date prévue de l’exécution forcée. Quant à l’indigence alléguée, elle n’est pas non plus démontrée. Vu le montant des frais judiciaires, réduits à 150 fr., et les dépens arrêtés à 380 fr., ainsi que la possibilité offerte par le juge de paix de régler les frais judiciaires en plusieurs versements, on peut douter que la décision attaquée place durablement le recourant dans une situation financière difficile.</w:t>
      </w:r>
    </w:p>
    <w:p>
      <w:r>
        <w:rPr>
          <w:b/>
        </w:rPr>
        <w:t>E. 4.1</w:t>
      </w:r>
    </w:p>
    <w:p>
      <w:r>
        <w:t>Au vu de ce qui précède, le recours doit être rejeté, selon le mode procédural de l’art. 322 al. 1 CPC.</w:t>
      </w:r>
    </w:p>
    <w:p>
      <w:r>
        <w:rPr>
          <w:b/>
        </w:rPr>
        <w:t>E. 4.2</w:t>
      </w:r>
    </w:p>
    <w:p>
      <w:r>
        <w:t>Le présent arrêt est rendu sans frais judiciaires de deuxième instance (cf. art. 11 TFJC [tarif des frais judiciaires civils du 28 septembre 2010 ; BLV 270.11.5]). Les intimées n’ayant pas été invitées à se déterminer, il n’y a pas lieu à l’allocation de dépens de deuxième instance.</w:t>
      </w:r>
    </w:p>
    <w:p>
      <w:r>
        <w:t>- 8 - Par ces motifs, la Chambre des recours civile du Tribunal cantonal, en application de l'art. 322 al. 1 CPC, prononce : I. Le recours est rejeté. II. Le prononcé est confirmé. III. L’arrêt, rendu sans frais de deuxième instance, est exécutoire. La présidente : La greffière : Du L'arrêt qui précède, dont la rédaction a été approuvée à huis clos, est notifié à : - M. N.________, personnellement, - Me David Parisod (pour R.________ et E.________).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