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JX22.011159 vom 8. Juni 2022</w:t>
      </w:r>
    </w:p>
    <w:p>
      <w:r>
        <w:t>VD Tribunal cantonal, 2022-06-08, FR</w:t>
      </w:r>
    </w:p>
    <w:p>
      <w:r>
        <w:rPr>
          <w:b/>
        </w:rPr>
        <w:t xml:space="preserve">Quelle: </w:t>
      </w:r>
      <w:r>
        <w:t>https://mcp.opencaselaw.ch/entscheid/vd_gerichte_JX22.011159</w:t>
      </w:r>
    </w:p>
    <w:p>
      <w:r>
        <w:t>FR: VD_GERICHTE JX22.011159 du 8 juin 2022</w:t>
      </w:r>
    </w:p>
    <w:p>
      <w:r>
        <w:t>IT: VD_GERICHTE JX22.011159 del 8 giugno 2022</w:t>
      </w:r>
    </w:p>
    <w:p>
      <w:pPr>
        <w:pStyle w:val="Heading2"/>
      </w:pPr>
      <w:r>
        <w:t>Erwägungen</w:t>
      </w:r>
    </w:p>
    <w:p>
      <w:r>
        <w:rPr>
          <w:b/>
        </w:rPr>
        <w:t>E. 3.1</w:t>
      </w:r>
    </w:p>
    <w:p>
      <w:r>
        <w:t>La recourante soutient que l’intimée ne lui aurait plus rien réclamé ni ne l’aurait contactée jusqu’ici et n’aurait ainsi plus manifesté sa volonté qu’elle quitte son logement. Elle fait également valoir que ses enfants et elle n’auraient pas de solution de relogement et qu’il lui serait très difficile de trouver un nouveau logement car les gérances rejetteraient systématiquement ses demandes.</w:t>
      </w:r>
    </w:p>
    <w:p>
      <w:r>
        <w:rPr>
          <w:b/>
        </w:rPr>
        <w:t>E. 3.2.1</w:t>
      </w:r>
    </w:p>
    <w:p>
      <w:r>
        <w:t>Les décisions qui ne portent pas sur le versement d'une somme d'argent ou la fourniture de sûretés sont exécutées selon les art. 335 à 346 CPC (art. 335 al. 1 et 2 CPC). Pour entrer dans le champ d'application de l'art. 335 CPC, une décision doit être exécutoire (Jeandin, op. cit., n. 1 ad art. 336 CPC), ce qui est le cas lorsqu'elle est entrée en force et que le tribunal n'a pas suspendu l'exécution (art. 336 al. 1 let. a CPC). Intitulé « exécution directe », l'art. 337 al. 1 CPC dispose que si le tribunal qui a rendu la décision a ordonné les mesures d'exécution nécessaires, la décision peut être exécutée directement. Selon l'art. 341 CPC, le tribunal de l'exécution examine d'office le caractère exécutoire de la décision (al. 1). Il fixe à la partie succombante un bref délai pour se déterminer (al. 2).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(al. 3). Au stade de la procédure d'exécution, qui ne saurait être confondue avec une voie de remise en cause de la décision au fond,</w:t>
      </w:r>
    </w:p>
    <w:p>
      <w:r>
        <w:t>- 7 -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 consid. 6.2 ; TF 5D_124/2015 du 18 mai 2016 consid. 2.3.3). L'intimé à l'exécution doit notamment alléguer et prouver que les faits fondant son objection se sont produits postérieurement au jugement (TF 5D_178/2019 du 26 mai 2020 consid. 4.4).</w:t>
      </w:r>
    </w:p>
    <w:p>
      <w:r>
        <w:rPr>
          <w:b/>
        </w:rPr>
        <w:t>E. 3.2.2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 Sous l'ancien et le nouveau droit, un délai d'un mois pour l'exécution forcée a été jugé admissible (CREC 6 mai 2014/166 ; CREC 17 septembre 2013/314 ; CREC</w:t>
      </w:r>
    </w:p>
    <w:p>
      <w:r>
        <w:rPr>
          <w:b/>
        </w:rPr>
        <w:t>E. 3.3</w:t>
      </w:r>
    </w:p>
    <w:p>
      <w:r>
        <w:t>En l’espèce, la recourante ne démontre pas l’existence de faits postérieurs à l’ordonnance d’expulsion du 6 décembre 2021 qui feraient obstacle à son exécution forcée au sens de l’art. 341 al. 3 CPC. Le fait que l’intimée ou sa gérance n’aurait plus rien réclamé à la recourante ou ne l’aurait plus contactée ne permet pas de considérer que l’intimée n’aurait plus la volonté d’obtenir l’expulsion de la recourante, que cette dernière aurait obtenu un sursis ou que la prétention à exécuter serait éteinte.</w:t>
      </w:r>
    </w:p>
    <w:p>
      <w:r>
        <w:t>- 8 - Pour répondre à l’interrogation de la recourante, qui indique ne pas comprendre pourquoi la décision entreprise a été rendue alors que l’affaire aurait déjà été jugée par la Chambre de céans, on relèvera que l’arrêt du 19 avril 2022 a annulé le premier avis d’exécution forcée du 6 avril 2022 en raison d’un vice formel en lien avec la violation du droit d’être entendu, qui devait être réparé par le juge de paix avant de rendre une nouvelle décision, ce qui a du reste été fait par celui-ci. La Chambre de céans n’a ainsi pas tranché l’affaire au fond, soit la question de savoir si les conditions de l’exécution forcée étaient réalisées. Au surplus, on constate que la décision du 6 décembre 2021 ordonnant à la recourante de quitter et rendre libres pour le lundi 10 janvier 2022 à midi les locaux occupés dans l’immeuble sis [...], avec la précision qu’à défaut de départ volontaire, il serait procédé à l’exécution forcée, est exécutoire. Les conditions de l’exécution forcée sont dès lors réalisées et la procédure a été régulière. Enfin, le fait que la décision entreprise du 25 mai 2022 fixe la date de l’exécution forcée au 15 juin 2022 n’est pas critiquable, un tel délai demeurant admissible dans le cas particulier, étant rappelé que le bail a été résilié avec effet au 31 août 2021 et que l’ordonnance d’expulsion a été rendue le 6 décembre 2022. Des motifs humanitaires – que la recourante n’explicite d’ailleurs pas dès lors qu’elle se contente d’alléguer que sa famille n’aurait pas de solution de relogement et qu’il lui serait difficile de trouver un nouvel appartement – ne justifient dès lors pas qu’il soit davantage sursis à l’exécution forcée, la recourante ayant bénéficié de suffisamment de temps pour prendre ses dispositions. 4. 4.1 En définitive, le recours, manifestement mal fondé, doit être rejeté et la décision confirmée.</w:t>
      </w:r>
    </w:p>
    <w:p>
      <w:r>
        <w:t>- 9 - 4.2 Le présent arrêt sera rendu sans frais judiciaires de deuxième instance (art. 11 TFJC [Tarif des frais judiciaires civils du 28 septembre 2010 ; BLV 270.11.5]). L’intimée n’ayant pas été invitée à déposer une réponse (art. 322 al. 1 in fine CPC), il n’y a pas lieu à l’allocation de dépens de deuxième instance. Par ces motifs, la Chambre des recours civile du Tribunal cantonal, en application de l’art. 322 al. 1 CPC, prononce : I. Le recours est rejeté. II. La décision est confirmée. III. L’arrêt, rendu sans frais de deuxième instance, est exécutoire. Le président : Le greffier : Du L'arrêt qui précède, dont la rédaction a été approuvée à huis clos, est notifié à : - Z.________, - [...] SA (pour H.________ SA). La Chambre des recours civile considère que la valeur litigieuse est supérieure à 15'000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r>
        <w:rPr>
          <w:b/>
        </w:rPr>
        <w:t>E. 8</w:t>
      </w:r>
    </w:p>
    <w:p>
      <w:r>
        <w:t>mai 2013/149 ; CREC 15 janvier 2013/10 ; Guignard, Procédures spéciales vaudoises, Lausanne 2008, n. 3 ad art. 21 aLPEBL [Loi du 18 mai 1955 sur la procédure d'expulsion en matière de baux à loyer et à ferme ; abrogée au 1er janvier 2011]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