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JX17.019366 vom 2. Juni 2017</w:t>
      </w:r>
    </w:p>
    <w:p>
      <w:r>
        <w:t>VD Tribunal cantonal, 2017-06-02, FR</w:t>
      </w:r>
    </w:p>
    <w:p>
      <w:r>
        <w:rPr>
          <w:b/>
        </w:rPr>
        <w:t xml:space="preserve">Quelle: </w:t>
      </w:r>
      <w:r>
        <w:t>https://mcp.opencaselaw.ch/entscheid/vd_gerichte_JX17.019366</w:t>
      </w:r>
    </w:p>
    <w:p>
      <w:r>
        <w:t>FR: VD_GERICHTE JX17.019366 du 2 juin 2017</w:t>
      </w:r>
    </w:p>
    <w:p>
      <w:r>
        <w:t>IT: VD_GERICHTE JX17.019366 del 2 giugno 2017</w:t>
      </w:r>
    </w:p>
    <w:p>
      <w:pPr>
        <w:pStyle w:val="Heading2"/>
      </w:pPr>
      <w:r>
        <w:t>Erwägungen</w:t>
      </w:r>
    </w:p>
    <w:p>
      <w:r>
        <w:rPr>
          <w:b/>
        </w:rPr>
        <w:t>E. 3.1</w:t>
      </w:r>
    </w:p>
    <w:p>
      <w:r>
        <w:t>La recourante invoque des problèmes de santé et une période nécessaire de rétablissement après une opération pour solliciter le report de la date d'exécution forcée. Elle fait valoir également qu'elle ne sait pas où aller avec son fils de deux ans.</w:t>
      </w:r>
    </w:p>
    <w:p>
      <w:r>
        <w:rPr>
          <w:b/>
        </w:rPr>
        <w:t>E. 3.2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w:t>
      </w:r>
    </w:p>
    <w:p>
      <w:r>
        <w:t>- 6 -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 Selon la jurisprudence, dans le cadre d'une expulsion pour retard dans le paiement du loyer selon l'art. 257d CO (Code des obligations du 30 mars 1911 ; RS 220),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Sous l'ancien et le nouveau droit, un délai d'un mois pour l'exécution forcée a été jugé admissible (CREC 17 septembre 2013/314 consid. 3b ; CREC 8 mai 2013/149 consid. 3d ; CREC 15 janvier 2013/10 consid. 3d ; Guignard, in Procédures spéciales vaudoises, 2008, n. 3 ad art. 21 aLPEBL [loi du 18 mai 1955 sur la procédure d'expulsion en matière de baux à loyer et à ferme, abrogée au 1er janvier 2011], p. 203).</w:t>
      </w:r>
    </w:p>
    <w:p>
      <w:r>
        <w:rPr>
          <w:b/>
        </w:rPr>
        <w:t>E. 3.3</w:t>
      </w:r>
    </w:p>
    <w:p>
      <w:r>
        <w:t>En l’espèce, l'ordonnance d'expulsion rendue le 30 novembre 2016 accordait à la recourante un délai au 21 décembre 2016 pour libérer les locaux. Depuis lors, la recourante a encore bénéficié de plusieurs mois pour effectuer son déménagement avant la procédure d'exécution forcée et avant l'opération subie le 25 avril 2017. Or, elle n'a rien entrepris. Comme on l'a vu, des motifs humanitaires ne permettent pas d'ajourner la date d'exécution forcée au-delà d'un bref délai dont la recourante a déjà largement bénéficié. De toute manière, il apparaît que la recourante est aidée des services sociaux de la région de Morges, qui sont intervenus auprès du premier juge et qui assisteront la recourante pour trouver une solution de relogement. Il ne se justifie donc pas de reporter encore l'expulsion.</w:t>
      </w:r>
    </w:p>
    <w:p>
      <w:r>
        <w:t>- 7 -</w:t>
      </w:r>
    </w:p>
    <w:p>
      <w:r>
        <w:rPr>
          <w:b/>
        </w:rPr>
        <w:t>E. 4</w:t>
      </w:r>
    </w:p>
    <w:p>
      <w:r>
        <w:t>Il s'ensuit que le recours, manifestement infondé, doit être rejeté selon le mode procédural de l'art. 322 al. 1 CPC et l'avis d'exécution forcée confirmé. Les frais judiciaires de deuxième instance sont arrêtés à 100 fr. (art. 69 al. 1 et 70 al. 4 TFJC [tarif des frais judiciaires civils du 28 septembre 2010 ; RSV 270.11.5]) et mis à la charge de la recourante, qui succombe (art. 106 al. 1 CPC). Il n'est pas alloué de dépens de deuxième instance, dès lors que l'intimé n'a pas été invité à se déterminer. Par ces motifs, la Chambre des recours civile du Tribunal cantonal prononce : I. Le recours est rejeté. II. La décision est confirmée. III. Les frais judiciaires de deuxième instance, arrêtés à 100 fr. (cent francs), sont mis à la charge de la recourante G.________. IV. L’arrêt est exécutoire. Le vice-président : Le greffier :</w:t>
      </w:r>
    </w:p>
    <w:p>
      <w:r>
        <w:t>- 8 - Du L'arrêt qui précède, dont la rédaction a été approuvée à huis clos, est notifié à : - Mme G.________, - M. Jean-Marc Schlaeppi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