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JX17.006098 vom 11. April 2017</w:t>
      </w:r>
    </w:p>
    <w:p>
      <w:r>
        <w:t>VD Tribunal cantonal, 2017-04-11, FR</w:t>
      </w:r>
    </w:p>
    <w:p>
      <w:r>
        <w:rPr>
          <w:b/>
        </w:rPr>
        <w:t xml:space="preserve">Quelle: </w:t>
      </w:r>
      <w:r>
        <w:t>https://mcp.opencaselaw.ch/entscheid/vd_gerichte_JX17.006098</w:t>
      </w:r>
    </w:p>
    <w:p>
      <w:r>
        <w:t>FR: VD_GERICHTE JX17.006098 du 11 avril 2017</w:t>
      </w:r>
    </w:p>
    <w:p>
      <w:r>
        <w:t>IT: VD_GERICHTE JX17.006098 del 11 aprile 2017</w:t>
      </w:r>
    </w:p>
    <w:p>
      <w:pPr>
        <w:pStyle w:val="Heading2"/>
      </w:pPr>
      <w:r>
        <w:t>Erwägungen</w:t>
      </w:r>
    </w:p>
    <w:p>
      <w:r>
        <w:rPr>
          <w:b/>
        </w:rPr>
        <w:t>E. 4</w:t>
      </w:r>
    </w:p>
    <w:p>
      <w:r>
        <w:t>Il résulte de ce qui précède que le recours, manifestement infondé, doit être rejeté selon le mode procédural de l'art. 322 al. 1 CPC et l'avis d'exécution forcée confirmé. Les frais judiciaires de deuxième instance, arrêtés à 100 fr. (art. 69 al. 1 et 70 al. 4 TFJC [tarif des frais judiciaires civils du 28 septembre 2010 ; RSV 270.11.5]), sont mis à la charge du recourant, qui succombe (art. 106 al. 1 CPC). Il ne sera pas alloué de dépens de deuxième instance, l'intimée n'ayant pas été invitée à se déterminer. Par ces motifs, la Chambre des recours civile du Tribunal cantonal, en application de l'art. 322 al. 1 CPC, prononce : I. Le recours est rejeté. II. La décision est confirmée. III. Les frais judiciaires de deuxième instance, arrêtés à 100 fr. (cent francs), sont mis à la charge du recourant Z.________. IV. L’arrêt est exécutoire. La présidente : La greffière :</w:t>
      </w:r>
    </w:p>
    <w:p>
      <w:r>
        <w:t>- 7 - Du L'arrêt qui précède est notifié en expédition complète, par l'envoi de photocopies, à : - M. Z.________, - M. Mikaël Ferreiro, aab (pour S.________).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