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JX15.048308 vom 19. Januar 2016</w:t>
      </w:r>
    </w:p>
    <w:p>
      <w:r>
        <w:t>VD Tribunal cantonal, 2016-01-19, FR</w:t>
      </w:r>
    </w:p>
    <w:p>
      <w:r>
        <w:rPr>
          <w:b/>
        </w:rPr>
        <w:t xml:space="preserve">Quelle: </w:t>
      </w:r>
      <w:r>
        <w:t>https://mcp.opencaselaw.ch/entscheid/vd_gerichte_JX15.048308</w:t>
      </w:r>
    </w:p>
    <w:p>
      <w:r>
        <w:t>FR: VD_GERICHTE JX15.048308 du 19 janvier 2016</w:t>
      </w:r>
    </w:p>
    <w:p>
      <w:r>
        <w:t>IT: VD_GERICHTE JX15.048308 del 19 gennaio 2016</w:t>
      </w:r>
    </w:p>
    <w:p>
      <w:pPr>
        <w:pStyle w:val="Heading2"/>
      </w:pPr>
      <w:r>
        <w:t>Volltext</w:t>
      </w:r>
    </w:p>
    <w:p>
      <w:r>
        <w:t>TRIBUNAL CANTONAL JL15.033309-160083 18 CHAMBRE D E S RECOURS CIVIL E _________________________________________ Arrêt du 19 janvier 2016 ____________________ Composition : M. SAUTEREL, vice-président Mmes Charif Feller et Giroud Walther, juges Greffier : Mme Logoz ***** Art. 59 al. 1 et 2 let. a CPC Statuant à huis clos sur le recours interjeté par E.________, à Lausanne, intimé, contre l’avis d’exécution forcée rendu le 9 décembre 2015 par la Juge de paix du district de Lausanne dans la cause divisant le recourant d’avec K.________, à Lausanne, requérante, la Chambre des recours civile du Tribunal cantonal considère : 855</w:t>
      </w:r>
    </w:p>
    <w:p>
      <w:r>
        <w:t>- 2 - En fait et e n droi t : 1. a) Par avis du 9 décembre 2015, la Juge de paix du district de Lausanne a fixé au mercredi 20 janvier 2016 à 9 heures l’exécution forcée de l’ordonnance du 8 octobre 2015 prononçant l’expulsion de E.________ des locaux occupés dans l’immeuble sis à [...], rue [...] (appartement n° 7 d’une pièce au 4ème étage). b) Par acte du 15 janvier 2016, mis à la poste le 17 janvier suivant, E.________ a formé recours contre cette décision, concluant à « l’annulation ou la suspension de l’exécution de force ». 2. a) Selon l’art. 59 al. 1 CPC, le tribunal n’entre en matière que sur les demandes et les requêtes qui satisfont aux conditions de recevabilité de l’action, l’une de ces conditions étant que le demandeur ou le requérant ait un intérêt digne de protection (art. 59 al. 2 let. a CPC). La doctrine et la jurisprudence ont précisé que celui qui fait valoir une prétention en justice doit démontrer qu’il a un intérêt digne de protection à voir le juge statuer sur celle-ci (Bohnet, CPC commenté, Bâle 2011, n. 89 ad art. 59 CPC). La qualité pour recourir ou appeler suppose un intérêt actuel et pratique à obtenir l'annulation ou la réforme de la décision attaquée (TF 1B_111/2010 du 7 mai 2010 ; ATF 135 I 79 c. 1.1; ATF 128 II 34 c. 1.b). L'absence d'un tel intérêt, qui doit être constatée d'office, entraîne l'irrecevabilité de l'appel ou du recours (CACI 7 juillet 2014/369). Le Tribunal fédéral ne renonce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important à résoudre la question de principe soulevée (TF 2P.77/2006 du 13 septembre 2006 c. 4.2 et les arrêts cités).</w:t>
      </w:r>
    </w:p>
    <w:p>
      <w:r>
        <w:t>- 3 - b) En l’occurrence, le recourant indique être domicilié [...], [...], ayant déménagé à cette adresse depuis le 6 janvier 2016 selon le Registre cantonal des personnes. Le recourant n’a dès lors plus d’intérêt actuel et pratique à l’admission de son recours portant sur l’exécution forcée de l’ordonnance d’expulsion du logement qu’il occupait [...], [...], les conditions auxquelles le Tribunal fédéral y renonce, dont le recourant ne se prévaut du reste pas, n’étant de toute manière pas réalisées en l’espèce. Le recours doit dès lors être déclaré irrecevable selon le mode procédural de l’art. 312 al. 1 CPC. 3. L’arrêt peut être rendu sans frais judicaires de deuxième instance (art. 11 TFJC [tarif des frais judiciaires civils du 28 septembre 2010 ; RSV 270.11.5]). Par ces motifs, la Chambre des recours civile du Tribunal cantonal, en application de l'art. 322 al. 1 CPC, prononce : I. Le recours est irrecevable. II. L’arrêt, rendu sans frais, est exécutoire.</w:t>
      </w:r>
    </w:p>
    <w:p>
      <w:r>
        <w:t>- 4 - Le président : Le greffier : Du L'arrêt qui précède, dont la rédaction a été approuvée à huis clos, est notifié à : - M. E.________, - M. Mikaël Ferreiro, agent d’affaires breveté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