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JX15.034229 vom 17. Dezember 2015</w:t>
      </w:r>
    </w:p>
    <w:p>
      <w:r>
        <w:t>VD Tribunal cantonal, 2015-12-17, FR</w:t>
      </w:r>
    </w:p>
    <w:p>
      <w:r>
        <w:rPr>
          <w:b/>
        </w:rPr>
        <w:t xml:space="preserve">Quelle: </w:t>
      </w:r>
      <w:r>
        <w:t>https://mcp.opencaselaw.ch/entscheid/vd_gerichte_JX15.034229</w:t>
      </w:r>
    </w:p>
    <w:p>
      <w:r>
        <w:t>FR: VD_GERICHTE JX15.034229 du 17 décembre 2015</w:t>
      </w:r>
    </w:p>
    <w:p>
      <w:r>
        <w:t>IT: VD_GERICHTE JX15.034229 del 17 dicembre 2015</w:t>
      </w:r>
    </w:p>
    <w:p>
      <w:pPr>
        <w:pStyle w:val="Heading2"/>
      </w:pPr>
      <w:r>
        <w:t>Erwägungen</w:t>
      </w:r>
    </w:p>
    <w:p>
      <w:r>
        <w:rPr>
          <w:b/>
        </w:rPr>
        <w:t>E. 1</w:t>
      </w:r>
    </w:p>
    <w:p>
      <w:r>
        <w:t>Par avis du 2 septembre 2015, le juge de paix a notamment ordonné l'exécution forcée le 7 octobre 2015 à 9 heures de l'ordonnance d'expulsion du 5 mai 2015 intimant à A.J.________ et B.J.________ de rendre</w:t>
      </w:r>
    </w:p>
    <w:p>
      <w:r>
        <w:t>- 3 - libre de toute personne et de tout objet le local commercial de 315 m2 situé au 2e étage de l'immeuble sis [...], à [...]. L'avis d'exécution forcée précise en outre que les clés devront avoir été restituées au préalable à la bailleresse et que si les locaux n'étaient pas libérés et/ou si les clés n'étaient pas restituées, les personnes et objets se trouvant dans les locaux seraient évacués et les serrures changées, le cas échéant par la force, aux frais des locataires. Par acte du 11 septembre 2015, A.J.________ a interjeté recours contre l'avis d'exécution forcée précité. Dans son mémoire, il a notamment expliqué qu'il essaierait de vider intégralement le dernier mobilier, mais doutait de ses capacités et de l'utilité de le faire dans cette urgence. En outre, il a déclaré s'opposer à être chargé du coût du changement de cylindre "pour des clés (qu'il n'était) pas à même de récupérer sans devoir (se) confronter à des sous-locataires qui (le) prennent désormais pour un escroc". Par arrêt du 18 septembre 2015, la Chambre des recours civile a notamment déclaré irrecevable le recours formé par A.J.________ à l’encontre de l'avis qui précède.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w:t>
      </w:r>
    </w:p>
    <w:p>
      <w:r>
        <w:t>- 5 - preuves (Corboz et al., Commentaire de la LTF, Berne 2009, n. 19 ad art. 97 LTF, p. 941).</w:t>
      </w:r>
    </w:p>
    <w:p>
      <w:r>
        <w:rPr>
          <w:b/>
        </w:rPr>
        <w:t>E. 3</w:t>
      </w:r>
    </w:p>
    <w:p>
      <w:r>
        <w:t>a) A teneur de l'art. 326 al. 1 CPC, les allégations de fait et preuves nouvelles sont irrecevables dans la procédure de recours. La Chambre des recours civile ne disposant que d'un pouvoir de cognition restreint, il ne lui appartient pas d'examiner les pièces nouvelles produites en deuxième instance et de procéder, sur cette base, à une instruction complémentaire et contradictoire. b) En l'espèce, si le prononcé de mainlevée du juge de paix du 25 juin 2015, le contrat de bail des parties du 16 septembre 2005, l'avenant n° 2 au contrat de bail du 23 mars 2012 (produits sous pièce 1), les courriels des parties échangés entre le 7 août 2015 et le 7 septembre 2015 (produits sous pièce 5), le courrier de M.________ à A.J.________ et B.J.________ du 15 mai 2014 (produit sous pièce 7) et celui du 13 mai 2015 (produit sous pièce 12) figurent déjà au dossier de première instance, tel n'est pas le cas pour toutes les autres pièces. Elles sont par conséquent irrecevables, car nouvelles.</w:t>
      </w:r>
    </w:p>
    <w:p>
      <w:r>
        <w:rPr>
          <w:b/>
        </w:rPr>
        <w:t>E. 4</w:t>
      </w:r>
    </w:p>
    <w:p>
      <w:r>
        <w:t>a) Le recourant conteste la mise à sa charge des frais de l’expulsion forcée, estimant qu'il appartient à la bailleresse de les supporter. Il allègue que les locaux avaient été libérés, ce dont la gérance aurait été informée par mail du jour précédent à 10h57 et que dès lors, l’assistance de la justice n’était pas nécessaire. Il ajoute que, selon lui, le bailleur utilise une institution judiciaire afin d’effectuer le travail à sa place, lui permettant ainsi de faire des économies. Pour le surplus, il présente une explication confuse relative à la problématique de la restitution des clés.</w:t>
      </w:r>
    </w:p>
    <w:p>
      <w:r>
        <w:t>- 6 - b)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Droesé, in Basler Kommentar, Schweizerische Zivilprozessordnung, 2e éd., Bâle 2013, nn. 18-19 ad art. 339 CPC, p. 1899), ainsi que les frais de déménageur et de serrurier (CREC 6 décembre 2011/237). Les frais de la procédure d‘exécution sont à la charge de la partie succombante (art. 106 al. 1 CPC; Jeandin, CPC commenté, nn. 16 et 18 ad art. 343 CPC, p. 1340); en ordonnant des mesures d’exécution forcée, le tribunal de l’exécution peut toutefois exiger du créancier qu’il avance les frais présumés (art. 98 CPC; Jeandin, ibidem; CREC 6 décembre 2011/237). c) En l’espèce, comme mentionné précédemment (cf consid. 3b supra), les pièces 8 et 9, sur lesquelles le recourant fonde essentiellement ses griefs sont irrecevables, de sorte qu'il n'établit pas que l'exécution forcée n'était pas nécessaire, sur le principe, ni que les frais intervenus du serrurier, attestés par une facture au dossier, étaient injustifiés. Au surplus, même recevables, ces pièces ne suffiraient pas à établir la restitution effective et intégrale des locaux, l'avis d'exécution spécifiant que les clés devaient avoir été restituées au préalable, ce qui n'est pas établi.</w:t>
      </w:r>
    </w:p>
    <w:p>
      <w:r>
        <w:rPr>
          <w:b/>
        </w:rPr>
        <w:t>E. 5</w:t>
      </w:r>
    </w:p>
    <w:p>
      <w:r>
        <w:t>En conclusion, le recours doit être rejeté selon le mode procédural de l’art. 322 al. 1 CPC et la décision confirmée. L'arrêt est rendu sans frais judiciaires de deuxième instance.</w:t>
      </w:r>
    </w:p>
    <w:p>
      <w:r>
        <w:t>- 7 - Par ces motifs, la Chambre des recours civile du Tribunal cantonal, en application de l'art. 322 al. 1 CPC, prononce : I. Le recours est rejeté. II. Le prononcé est confirmé. III. L'arrêt, rendu sans frais judiciaires, est exécutoire. Le président : La greffière : Du L'arrêt qui précède, dont la rédaction a été approuvée à huis clos, est notifié en expédition complète, par l'envoi de photocopies, à : - M. A.J.________ personnellement, - M.________.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