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JX14.045581 vom 4. März 2015</w:t>
      </w:r>
    </w:p>
    <w:p>
      <w:r>
        <w:t>VD Tribunal cantonal, 2015-03-04, FR</w:t>
      </w:r>
    </w:p>
    <w:p>
      <w:r>
        <w:rPr>
          <w:b/>
        </w:rPr>
        <w:t xml:space="preserve">Quelle: </w:t>
      </w:r>
      <w:r>
        <w:t>https://mcp.opencaselaw.ch/entscheid/vd_gerichte_JX14.045581</w:t>
      </w:r>
    </w:p>
    <w:p>
      <w:r>
        <w:t>FR: VD_GERICHTE JX14.045581 du 4 mars 2015</w:t>
      </w:r>
    </w:p>
    <w:p>
      <w:r>
        <w:t>IT: VD_GERICHTE JX14.045581 del 4 marzo 2015</w:t>
      </w:r>
    </w:p>
    <w:p>
      <w:pPr>
        <w:pStyle w:val="Heading2"/>
      </w:pPr>
      <w:r>
        <w:t>Erwägungen</w:t>
      </w:r>
    </w:p>
    <w:p>
      <w:r>
        <w:rPr>
          <w:b/>
        </w:rPr>
        <w:t>E. 18</w:t>
      </w:r>
    </w:p>
    <w:p>
      <w:r>
        <w:t>décembre 2013 n° 434). Ainsi, dans la mesure où l'intimé n'a fait valoir aucune des circonstances prévues à l'art. 341 al. 3 CPC, en particulier l'extinction de l'obligation de quitter les lieux, c'est à tort que le premier juge a rejeté la requête de W.________ du 6 novembre 2014. 4. a) Au vu de ce qui précède, le recours doit être admis et l’ordonnance du 6 janvier 2015 annulée, afin que le premier juge statue à nouveau dans le sens des considérants. b) Les frais judiciaires de deuxième instance, arrêtés à 400 fr. (art. 69 al. 1 TFJC [tarif des frais judiciaires civils du 28 septembre 2010, RSV 270.11.5]), sont mis à la charge de l'intimé, qui succombe (art. 106 al. 1 CPC). c) En règle générale, la partie qui succombe est tenue de rembourser à la partie qui a obtenu gain de cause tous les frais causés par le litige (art. 3 al. 1 TDC [tarif des dépens en matière civile du 23 novembre 2010, RSV 270.11.6]). Les dépens sont fixés, selon le type de procédure et dans les limites des tableaux figurant aux art. 4 à 8 et 10 à 13 TDC, en considération de l’importance de la cause, de ses difficultés, de l’ampleur du travail et du temps consacré par l’avocat (art. 3 al. 2 TDC).</w:t>
      </w:r>
    </w:p>
    <w:p>
      <w:r>
        <w:t>- 7 - En l’espèce, la charge des dépens peut être estimée à 500 fr. pour la recourante (art. 13 al. 1 TDC). Vu l’issue du litige, l’intimé versera à la recourante les montants de 500 fr. et 400 fr. à titre respectivement de dépens et de restitution d'avance de frais de deuxième instance. Par ces motifs, la Chambre des recours civile du Tribunal cantonal, prononce : I. Le recours est admis. II. L'ordonnance est annulée et la cause est renvoyée au Juge de paix du district de la Riviera – Pays-d'Enhaut pour statuer à nouveau dans le sens des considérants. III. Les frais judiciaires de deuxième instance, arrêtés à 400 fr. (quatre cents francs), sont mis à la charge de l'intimé. IV. L'intimé Z.________ doit verser à la recourante W.________ la somme de 900 fr. (neuf cents francs) à titre de restitution d'avance de frais et de dépens de deuxième instance. V. L'arrêt motivé est exécutoire.</w:t>
      </w:r>
    </w:p>
    <w:p>
      <w:r>
        <w:t>- 8 - Le président : La greffière : Du 6 mars 2015 Le dispositif de l'arrêt qui précède est communiqué par écrit aux intéressés. La greffière : Du L'arrêt qui précède, dont la rédaction a été approuvée à huis clos, est notifié en expédition complète, par l'envoi de photocopies, à : - Mme Martine Schlaeppi (pour W.________), - M. Z.________.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