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JX14.011306 vom 3. Juni 2014</w:t>
      </w:r>
    </w:p>
    <w:p>
      <w:r>
        <w:t>VD Tribunal cantonal, 2014-06-03, FR</w:t>
      </w:r>
    </w:p>
    <w:p>
      <w:r>
        <w:rPr>
          <w:b/>
        </w:rPr>
        <w:t xml:space="preserve">Quelle: </w:t>
      </w:r>
      <w:r>
        <w:t>https://mcp.opencaselaw.ch/entscheid/vd_gerichte_JX14.011306</w:t>
      </w:r>
    </w:p>
    <w:p>
      <w:r>
        <w:t>FR: VD_GERICHTE JX14.011306 du 3 juin 2014</w:t>
      </w:r>
    </w:p>
    <w:p>
      <w:r>
        <w:t>IT: VD_GERICHTE JX14.011306 del 3 giugno 2014</w:t>
      </w:r>
    </w:p>
    <w:p>
      <w:pPr>
        <w:pStyle w:val="Heading2"/>
      </w:pPr>
      <w:r>
        <w:t>Erwägungen</w:t>
      </w:r>
    </w:p>
    <w:p>
      <w:r>
        <w:rPr>
          <w:b/>
        </w:rPr>
        <w:t>E. 1</w:t>
      </w:r>
    </w:p>
    <w:p>
      <w:r>
        <w:t>Par ordonnance du 12 février 2014, le Juge de paix des districts du Jura – Nord vaudois et du Gros-de-Vaud a ordonné à I.________ de quitter et rendre libres d’ici le 17 mars 2014 les locaux occupés dans l’immeuble sis [...], à [...] (maison d’habitation), et dit qu’à défaut de quitter volontairement ces locaux, il serait procédé à l’exécution forcée sur requête de la partie bailleresse. L’appel de I.________ contre l’ordonnance précitée a été déclaré irrecevable par arrêt du 6 mars 2014 de la Cour d’appel civile du Tribunal cantonal.</w:t>
      </w:r>
    </w:p>
    <w:p>
      <w:r>
        <w:rPr>
          <w:b/>
        </w:rPr>
        <w:t>E. 2</w:t>
      </w:r>
    </w:p>
    <w:p>
      <w:r>
        <w:t>Par avis d’exécution forcée du 23 avril 2014, faisant suite à la requête de la partie bailleresse du 18 mars 2014, le Juge de paix des districts du Jura – Nord vaudois et du Gros-de-Vaud a fixé l’exécution forcée le mardi 27 mai 2014, à 10h00.</w:t>
      </w:r>
    </w:p>
    <w:p>
      <w:r>
        <w:rPr>
          <w:b/>
        </w:rPr>
        <w:t>E. 3</w:t>
      </w:r>
    </w:p>
    <w:p>
      <w:r>
        <w:t>Par courrier du 30 avril 2014, I.________ a fait recours contre l’avis précité, en indiquant qu’il n’avait pas encore retrouvé de logement. Il n’a pas requis l’effet suspensif.</w:t>
      </w:r>
    </w:p>
    <w:p>
      <w:r>
        <w:rPr>
          <w:b/>
        </w:rPr>
        <w:t>E. 4</w:t>
      </w:r>
    </w:p>
    <w:p>
      <w:r>
        <w:t>Selon le procès-verbal des opérations de première instance, l’exécution forcée a eu lieu le 27 mai 2014.</w:t>
      </w:r>
    </w:p>
    <w:p>
      <w:r>
        <w:rPr>
          <w:b/>
        </w:rPr>
        <w:t>E. 5</w:t>
      </w:r>
    </w:p>
    <w:p>
      <w:r>
        <w:t>a) Aux termes de l’art. 319 let. a CPC (en relation avec l'art. 309 let. a CPC), un recours peut être formé contre une décision du tribunal de l'exécution dans les dix jours dès la notification de la décision attaquée (art. 321 al. 2 CPC).</w:t>
      </w:r>
    </w:p>
    <w:p>
      <w:r>
        <w:t>- 3 - Lorsqu’elle est saisie d'un recours contre une décision d'exécution forcée régie en première instance par la procédure sommaire (cf. art. 339 al. 2 CPC), la Chambre des recours civile statue à trois juges (CREC 23 février 2011/4). b)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c) En l’espèce, l’exécution forcée a eu lieu en date du 27 mai 2014. Le recours interjeté par I.________ contre l'avis d'exécution forcée a par conséquent perdu son objet. Il convient d'en prendre acte et de rayer la cause du rôle (art. 242 CPC ([Code de procédure civile du 19 décembre 2008, RS 272]).</w:t>
      </w:r>
    </w:p>
    <w:p>
      <w:r>
        <w:rPr>
          <w:b/>
        </w:rPr>
        <w:t>E. 6</w:t>
      </w:r>
    </w:p>
    <w:p>
      <w:r>
        <w:t>Le présent arrêt peut être rendu sans frais judiciaires (art. 77 TFJC [Tarif des frais judiciaires civils du 28 septembre 2010, RSV 270.11.5]), l’avance de 400 fr. versée par le recourant devant lui être restituée.</w:t>
      </w:r>
    </w:p>
    <w:p>
      <w:r>
        <w:t>- 4 - Par ces motifs, la Chambre des recours civile du Tribunal cantonal, statuant à huis clos, prononce : I. Le recours est sans objet. II. La cause est rayée du rôle. III. L’arrêt, rendu sans frais, est exécutoire. Le président : La greffière : Du L'arrêt qui précède, dont la rédaction a été approuvée à huis clos, est notifié en expédition complète, par l'envoi de photocopies, à : - I.________, - Q.________.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