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JX13.053966 vom 11. Februar 2014</w:t>
      </w:r>
    </w:p>
    <w:p>
      <w:r>
        <w:t>VD Tribunal cantonal, 2014-02-11, FR</w:t>
      </w:r>
    </w:p>
    <w:p>
      <w:r>
        <w:rPr>
          <w:b/>
        </w:rPr>
        <w:t xml:space="preserve">Quelle: </w:t>
      </w:r>
      <w:r>
        <w:t>https://mcp.opencaselaw.ch/entscheid/vd_gerichte_JX13.053966</w:t>
      </w:r>
    </w:p>
    <w:p>
      <w:r>
        <w:t>FR: VD_GERICHTE JX13.053966 du 11 février 2014</w:t>
      </w:r>
    </w:p>
    <w:p>
      <w:r>
        <w:t>IT: VD_GERICHTE JX13.053966 del 11 febbraio 2014</w:t>
      </w:r>
    </w:p>
    <w:p>
      <w:pPr>
        <w:pStyle w:val="Heading2"/>
      </w:pPr>
      <w:r>
        <w:t>Erwägungen</w:t>
      </w:r>
    </w:p>
    <w:p>
      <w:r>
        <w:rPr>
          <w:b/>
        </w:rPr>
        <w:t>E. 29</w:t>
      </w:r>
    </w:p>
    <w:p>
      <w:r>
        <w:t>novembre 2011 c. 3.3). En cas d'absence prolongée, il appartient d'ailleurs à la partie de prendre des dispositions pour qu'un tiers s'occupe de son courrier (CREC I du 23 septembre 2010/503) et celui qui est en retard dans le paiement de son loyer, quelle que soit la période de l'année, doit s'attendre à se voir notifier un avis comminatoire durant la période des vacances (CREC I du 4 septembre 2010/235). La jurisprudence vaudoise réserve toutefois le cas de la preuve d'un empêchement majeur, tout en relevant que l'absence du domicile ne constitue en principe pas un tel empêchement (CREC I du 4 février 2010/69 et les réf. citées). Au surplus, le recourant n'établit aucune des circonstances de l’art. 341 al. 3 CPC (extinction, sursis ou prescription de la prestation due), ni ne prouve par titre que l’intimée a renoncé à l’exécution forcée. Enfin, aucun moyen faisant apparaître la requête de l’intimée comme abusive n’est soulevé. Mal fondés, les moyens du recourant doivent donc être rejetés. 4. En définitive, le recours, mal fondé, doit être rejeté en application de l'art. 322 al. 1 CPC et la décision d'exécution forcée confirmée.</w:t>
      </w:r>
    </w:p>
    <w:p>
      <w:r>
        <w:t>- 8 - Les frais judiciaires de deuxième instance sont arrêtés à 100 fr. (art. 69 al. 1 TFJC [tarif des frais judiciaires civils du 28 septembre 2010, RSV 270.11.5]) et mis à la charge du recourant, qui succombe (art. 106 al. 1 CPC). Il n'y a pas lieu à l'allocation de dépens, dès lors que l'intimée n'a pas été invitée à se déterminer sur le recours.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C.________. IV. L’arrêt motivé est exécutoire. Le président : La greffière : Du 11 février 2014 Le dispositif de l'arrêt qui précède est communiqué par écrit aux intéressés. La greffière :</w:t>
      </w:r>
    </w:p>
    <w:p>
      <w:r>
        <w:t>- 9 - Du L'arrêt qui précède, dont la rédaction a été approuvée à huis clos, est notifié en expédition complète, par l'envoi de photocopies, à : - M. C.________, - M. Pascal Stouder (pour N.________SA).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