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JX09.036602 vom 28. September 2010</w:t>
      </w:r>
    </w:p>
    <w:p>
      <w:r>
        <w:t>VD Tribunal cantonal, 2010-09-28, FR</w:t>
      </w:r>
    </w:p>
    <w:p>
      <w:r>
        <w:rPr>
          <w:b/>
        </w:rPr>
        <w:t xml:space="preserve">Quelle: </w:t>
      </w:r>
      <w:r>
        <w:t>https://mcp.opencaselaw.ch/entscheid/vd_gerichte_JX09.036602</w:t>
      </w:r>
    </w:p>
    <w:p>
      <w:r>
        <w:t>FR: VD_GERICHTE JX09.036602 du 28 septembre 2010</w:t>
      </w:r>
    </w:p>
    <w:p>
      <w:r>
        <w:t>IT: VD_GERICHTE JX09.036602 del 28 settembre 2010</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relève de la Chambre des recours, plus précisément de la seconde Chambre des recours, en vertu de l'art. 20 al. 1 in fine ROTC (Règlement organique du Tribunal cantonal du 13 novembre 2007; RSV 173.31.1) dans sa teneur dès le 1er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w:t>
      </w:r>
    </w:p>
    <w:p>
      <w:r>
        <w:t>- 5 - En l'espèce, le prononcé de modération a été notifié le 21 juin 2010 au recourant qui a déposé son recours le 20 juillet 2010. Interjeté en temps utile, motivé et signé, le recours est recevable.</w:t>
      </w:r>
    </w:p>
    <w:p>
      <w:r>
        <w:rPr>
          <w:b/>
        </w:rPr>
        <w:t>E. 2</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 5 mars 2007 c. 4.1 et les arrêts cités). La jurisprudence, se fondant sur l'art. 36 aLB, admettait que les avocats n'ont pas l'obligation de tenir un décompte des heures consacrées à l'exécution de leur mandat (JT 2003 III 67 et 2006 III 38 précités; Jomini, Les honoraires et débours de l'avocat vaudois et leur modération,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w:t>
      </w:r>
    </w:p>
    <w:p>
      <w:r>
        <w:t>- 6 - avocats; RS 935.61). Cette dernière disposition prévoit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Droit de la profession d'avocat, 2009, n° 1785 pp. 733-734 et n° 2836, p. 1126; Fellmann, Kommentar zum Anwaltgesetz, Fellmann/Zindel Hrsg, 2005, n. 172 ad art. 12 LLCA, pp. 200-201). La jurisprudence de la cour de céans fondée sur l'art. 36 aLB n'est ainsi plus d'actualité, ce que la cour de céans a déjà relevé dans des arrêts récents (CREC II 8 octobre 2009/198; CREC II 10 janvier 2010/18).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w:t>
      </w:r>
    </w:p>
    <w:p>
      <w:r>
        <w:t>- 7 -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8 octobre 2009 n° 198).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op. cit., n° 3002, pp. 1184-1185). Il n’est pas contraire au droit fédéral de tenir compte du résultat (majoration des honoraires pour tenir compte du résultat; ATF 135 III 259).</w:t>
      </w:r>
    </w:p>
    <w:p>
      <w:r>
        <w:rPr>
          <w:b/>
        </w:rPr>
        <w:t>E. 3</w:t>
      </w:r>
    </w:p>
    <w:p>
      <w:r>
        <w:t>Le litige porte sur la nécessité des opérations facturées par l'avocat compte tenu des objectifs du client et des conclusions adverses, ainsi que sur les acomptes portés en déduction du montant facturé. Le recourant soutient qu'il était personnellement d’accord de divorcer, mais que l'intimé aurait multiplié les audiences et séances inutiles et il lui reproche de n'avoir pas pris en compte les acomptes qu'il lui aurait versés. L'intimé fait valoir de son côté que les audiences ont été provoquées par la partie adverse et que la liquidation du régime matrimonial était litigieuse. a) En ce qui concerne le grief d’opérations inutiles, le recourant se borne à le mentionner sans le développer, si ce n’est en faisant état d’audiences et de séances qu’il perçoit comme vaines. A cet égard, la note d’honoraires de l'intimé du 26 juin 2009 mentionne 8 entretiens avec le</w:t>
      </w:r>
    </w:p>
    <w:p>
      <w:r>
        <w:t>- 8 - client, 1 conférence avec le client et la partie adverse, 1 séance de mise en œuvre d’expert immobilier, 1 audience de mesures provisionnelles le 30 octobre 2007, 1 audience d’appel le 13 mars 2008, et 1 audience préliminaire le 6 octobre 2008. Ces prestations figurent dans la liste d’opérations, leur existence se vérifie dans le dossier de l’avocat et, pour les audiences, notamment dans le procès-verbal des opérations du procès. Vues sous l’angle de la modération, on ne saurait les qualifier d’inutiles, ni considérer qu’elles ne répondaient pas à la défense des intérêts notamment économiques du recourant dans la procédure de divorce. De plus, il est invraisemblable que le recourant, qui ne démontre en rien cette allégation, se soit laissé imposer le point de vue de son conseil sur une question aussi personnelle que la volonté de divorcer. Dans sa requête de modération du 27 octobre 2009, le recourant a fait état d’un antagonisme personnel entre l'intimé et le conseil adverse Me S.________ et soutient que cette inimitié aurait dominé la conduite du procès en divorce dont l’avancement a été très lent. La lecture de la correspondance échangée entre les conseils donne effectivement à penser que certaines tensions se sont manifestées entre eux, des reproches de violation des usages étant articulés et réfutés de part et d’autre, toutefois, on n’y discerne pas une intensité telle que la défense des intérêts du client en aurait été reléguée à l’arrière-plan par goût immodéré de l’affrontement, ni de rapport de causalité entre cette adversité et des prestations ne visant qu’à l’alimenter. Pour le surplus, les motifs de la décision attaquée quant à la correction du volume des heures facturées (75 heures et 25 minutes étalées sur une durée procédurale de 20 mois) et quant au tarif horaire pratiqué de 200 fr. environ, très nettement inférieur au tarif usuel de l’avocat vaudois de l’ordre de 330 à 350 francs selon la jurisprudence (JT 2006 III 38 ; 5P.438/2005 c. 3.2), peuvent être adoptés. Il en va de même des considérants relatifs à l’information du recourant sur le coût du mandat par l’envoi de demandes de provision.</w:t>
      </w:r>
    </w:p>
    <w:p>
      <w:r>
        <w:t>- 9 - b) Le recourant reproche encore à l'intimé, sans développer ce grief, de ne pas avoir pris en compte tous les acomptes qu'il lui aurait versés. Les acomptes portés en déduction dans la décision attaquée pour un montant total de 1'400 fr. correspondent aux total des quatre acomptes de 2 x 500 francs et de 2 x 200 fr. versés les 5 et 28 août 2008, ainsi que les 5 novembre et 31 décembre 2009, mentionnés dans la liste d’opérations. A l’appui de sa demande de modération le recourant a produit des extraits d’un carnet de quittances postales établissant qu’il a versé 1'614 fr. et 4'304 fr. à l’intimé les 6 juillet 2007 et 11 décembre 2007. On constate toutefois que ces montants ont été versés pour acquitter une note du 19 novembre 2007 d’un montant de 5'918 fr., TVA incluse, concernant la procédure de mesures protectrices de l’union conjugale, soit une provision de 1'614 fr. et un solde de 4'304 francs. C’est donc à juste titre que le premier juge n’a pas imputé ces deux montants sur la note litigieuse. En définitive, la modération de la note d'honoraires fixée par le premier juge est adéquate et doit être approuvée.</w:t>
      </w:r>
    </w:p>
    <w:p>
      <w:r>
        <w:rPr>
          <w:b/>
        </w:rPr>
        <w:t>E. 4</w:t>
      </w:r>
    </w:p>
    <w:p>
      <w:r>
        <w:t>En conclusion, le recours doit être rejeté et le prononcé confirmé. Les frais de deuxième instance du recourant sont arrêtés à 160 francs. L'intimé ayant procédé sans être assisté, il n'y a pas matière à l'octroi de dépens.</w:t>
      </w:r>
    </w:p>
    <w:p>
      <w:r>
        <w:t>- 10 - Par ces motifs, la Chambre des recours du Tribunal cantonal, statuant à huis clos, prononce : I. Le recours est rejeté. II. Le prononcé est confirmé. III. Les frais de deuxième instance du recourant B.________ sont arrêtés à 160 fr. (cent soixante francs). IV. Il n'est pas alloué de dépens. V. L'arrêt motivé est exécutoire Le président : La greffière : Du 28 septembre 2010 Le dispositif de l'arrêt qui précède est communiqué par écrit aux intéressés. La greffière :</w:t>
      </w:r>
    </w:p>
    <w:p>
      <w:r>
        <w:t>- 11 - Du L'arrêt qui précède, dont la rédaction a été approuvée à huis clos, est notifié en expédition complète, par l'envoi de photocopies, à : - M. B.________, - Me V.________. La Chambre des recours considère que la valeur litigieuse est de 16'140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