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JX09.026011 vom 29. November 2010</w:t>
      </w:r>
    </w:p>
    <w:p>
      <w:r>
        <w:t>VD Tribunal cantonal, 2010-11-29, FR</w:t>
      </w:r>
    </w:p>
    <w:p>
      <w:r>
        <w:rPr>
          <w:b/>
        </w:rPr>
        <w:t xml:space="preserve">Quelle: </w:t>
      </w:r>
      <w:r>
        <w:t>https://mcp.opencaselaw.ch/entscheid/vd_gerichte_JX09.026011</w:t>
      </w:r>
    </w:p>
    <w:p>
      <w:r>
        <w:t>FR: VD_GERICHTE JX09.026011 du 29 novembre 2010</w:t>
      </w:r>
    </w:p>
    <w:p>
      <w:r>
        <w:t>IT: VD_GERICHTE JX09.026011 del 29 novembre 2010</w:t>
      </w:r>
    </w:p>
    <w:p>
      <w:pPr>
        <w:pStyle w:val="Heading2"/>
      </w:pPr>
      <w:r>
        <w:t>Erwägungen</w:t>
      </w:r>
    </w:p>
    <w:p>
      <w:r>
        <w:rPr>
          <w:b/>
        </w:rPr>
        <w:t>E. 1</w:t>
      </w:r>
    </w:p>
    <w:p>
      <w:r>
        <w:t>a) Selon l'art. 50 LPAv (loi du 24 septembre 2002 sur la profession d'avocat; RSV 177.11), les décisions relatives à des</w:t>
      </w:r>
    </w:p>
    <w:p>
      <w:r>
        <w:t>- 5 -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Interjeté en temps utile, le recours est recevable. Tel n'est en revanche pas le cas de la lettre de la recourante du 4 octobre 2010 ni du mémoire qu'elle a déposé le 22 novembre 2010, dans le délai imparti uniquement à l'intimé, dès lors que le recours doit être immédiatement motivé.</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t>- 6 -</w:t>
      </w:r>
    </w:p>
    <w:p>
      <w:r>
        <w:rPr>
          <w:b/>
        </w:rPr>
        <w:t>E. 3</w:t>
      </w:r>
    </w:p>
    <w:p>
      <w:r>
        <w:t>La recourante fait valoir que l'intimé a mal, voire pas exécuté son mandat, et qu'il a au demeurant résilié celui-ci en temps inopportun.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14 juin 2010/117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1184- 1185). Les griefs susmentionnés de la recourante sont en conséquence irrecevables dans le cadre de la présente procédure de modération.</w:t>
      </w:r>
    </w:p>
    <w:p>
      <w:r>
        <w:rPr>
          <w:b/>
        </w:rPr>
        <w:t>E. 4</w:t>
      </w:r>
    </w:p>
    <w:p>
      <w:r>
        <w:t>a) La recourante exige la production d'un décompte d'honoraires plus détaillé que celui déposé par l'intimé le 20 août 2009. Elle demande en particulier que toutes les opérations soient datées, que les opérations multiples englobées dans une totalisation soient clarifiées individuellement en indiquant la date de l'envoi, le motif de l'intervention, le nom du destinataire et le temps consacré à chaque opération, sans omettre les conférences téléphoniques prises individuellement. b/aa) L'art. 45 al. 1 LPAv prévoit que l'avocat a droit à des honoraires fixés en tenant compte du temps consacré à l'exécution du mandat, des difficultés et des délais d'exécution de celui-ci, de</w:t>
      </w:r>
    </w:p>
    <w:p>
      <w:r>
        <w:t>- 7 -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TF 4P.342/2006 du 5 mars 2007 c. 4.1 et les arrêts cités). A cet égard, la jurisprudence, se fondant sur l'art. 36 LB, admettait que les avocats n'ont pas l'obligation de tenir un décompte des heures consacrées à l'exécution de leur mandat (JT 2006 III 38 et 2003 III 67 précités; Jomini, Les honoraires et débours de l'avocat vaudois et leur modération, in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w:t>
      </w:r>
    </w:p>
    <w:p>
      <w:r>
        <w:t>- 8 - le temps qui lui a été consacré (TF 2A.18/2004 du 13 août 2004 c. 7.2.1 et 7.2.3; Bohnet/Martenet, op. cit., n° 1785, pp. 733-734, et n° 2836, p. 1126; Fellmann, Kommentar zum Anwaltsgesetz, Fellmann/Zindel Hrsg, 2005, n. 172 ad art. 12 LLCA, pp. 200-201). La jurisprudence de la Chambre des recours, fondée sur l'art. 36 LB, n'est ainsi plus d'actualité, ce que la cour de céans a déjà relevé dans des arrêts récents (CREC II 19 janvier 2010/18; CREC II 8 octobre 2009/198). bb)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c) En l'occurrence, l'intimé a produit une liste relativement détaillée de ses opérations, avec mention du temps consacré à celles-ci. Il est cependant vrai qu'il a indiqué d'une manière globale le temps consacré à trois conférences avec la cliente, par quatre heures et cinquante-cinq minutes, sans préciser la date et le temps consacré à chacune de ces conférences. De même, il a indiqué une durée globale de trois heures et quarante minutes pour douze conférences téléphoniques «avec cliente, le Préposé et le substitut de l'OP-Montreux, l'inspecteur [...] de la [...] et</w:t>
      </w:r>
    </w:p>
    <w:p>
      <w:r>
        <w:t>- 9 - l'expert [...]», ainsi que quatre heures et cinq minutes pour la rédaction de quarante-deux correspondances et courriels divers. Dans un arrêt récent,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cours de céans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La réalité des quarante-deux correspondances et courriels est en l'espèce attestée par les pièces figurant au dossier. Le temps qui y a été consacré, par quatre heures et cinq minutes, savoir moins de dix minutes par courrier, est admissible. Même si leur date précise n'est pas indiquée, les douze téléphones, pour une durée totale de trois heures et quarante minutes, représentent dix-huit minutes par appel, ce qui est acceptable en présence d'une cliente manifestement prolixe au vu de ses écritures. Ni les trois conférences, ni leur durée totale, ne sont par ailleurs remises en cause, lors même que la recourante avait été invitée par le premier juge, par courrier du 1er septembre 2009, à contester précisément l'existence ou la durée de certaines opérations, ce qu'elle était sans autres en mesure de faire pour les conférences qu'elle a eues avec l'intimé. On peut donc considérer les opérations et leur durée comme établies, même si une plus grande précision de la liste des opérations aurait été souhaitable. La note d'honoraires et de débours apparaît encore admissible en l'occurrence, sans qu'il soit nécessaire d'interpeller l'intimé à cet égard et de la lui faire compléter. Ainsi, le prononcé, en tant qu'il retient l'entier du temps consacré aux conférences, téléphones et correspondances, peut être</w:t>
      </w:r>
    </w:p>
    <w:p>
      <w:r>
        <w:t>- 10 - confirmé. Il en va de même du tarif horaire de 380 fr. pratiqué par l'intimé, compte tenu de son expérience et de la complexité de la cause.</w:t>
      </w:r>
    </w:p>
    <w:p>
      <w:r>
        <w:rPr>
          <w:b/>
        </w:rPr>
        <w:t>E. 5</w:t>
      </w:r>
    </w:p>
    <w:p>
      <w:r>
        <w:t>a) Le premier juge a modéré globalement à 11'000 fr., TVA non comprise, la note de l'intimé de 14'030 fr. 75, hors TVA, en invoquant d'une part que le temps indiqué pour la prise de connaissance des pièces remises par la cliente, par treize heures et trente-deux minutes, était excessif et, d'autre part, qu'il y avait lieu de réduire la note en raison de l'insuffisance des provisions requises. Il n'a pas pondéré séparément les facteurs de réduction, ce qu'il convient de faire dans le présent arrêt. b) C'est à juste titre que la présidente du tribunal d'arrondissement a considéré que les treize heures et trente-deux minutes invoquées pour la prise de connaissance des pièces remises par la recourante et des correspondances reçues de celle-ci étaient excessives. On peut retenir dix heures de ce chef, ce qui justifie une réduction de la note d'honoraires de 1'330 fr. (3,5 h x 380 fr.). c/aa) L'art. 12 let. i LLCA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w:t>
      </w:r>
    </w:p>
    <w:p>
      <w:r>
        <w:t>- 11 - facturation a expressément été rappelée (Bulletin officiel du Conseil des Etats [BO-CE] 1999, p. 1172). La LPAv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bb) Contrairement à ce que soutient l'intimé, rien ne permet de considérer que la recourante serait rompue aux affaires. La manière dont elle a agi seule dans une procédure d'expropriation complexe démontre le contraire. Elle n'était pas à même de se représenter par elle- même la valeur du travail intellectuel de son mandataire. Au surplus, il était d'autant plus important pour la recourante de connaître l'ampleur des frais auxquels elle s'exposait qu'elle dispose de moyens financiers modestes. Ainsi, c'est à juste titre que le premier juge a opéré une réduction de la note du fait que l'avocat n'avait requis qu'une provision de 3'000 fr., sur une note d'honoraires et de débours de 15'097 fr. 05, TVA comprise, sans même indiquer à la cliente l'évolution de sa facture au vu de ses opérations. cc) La Chambre des recours a admis une réduction d'un tiers des honoraires facturés dans le cas d'un avocat ayant demandé des provisions à hauteur de 3'000 fr. sur une note d'honoraires totale de 10'300 fr. (CREC II 16 juin 2008/109) ou des provisions de 8'500 fr. sur une note de 34'000 fr. (CREC II 24 février 2009/26). La réduction a été de 50% sur une note d'environ 36'000 fr., en l'absence de toute demande de provision (C. mod., 6 juin 2005, n° 3). Dans une affaire concernant l'intimé, la cour de céans a récemment réduit de 30% une note de l'ordre de</w:t>
      </w:r>
    </w:p>
    <w:p>
      <w:r>
        <w:t>- 12 - 15'000 fr., alors que l'avocat n'avait pas requis de provision, mais pratiqué un tarif horaire inférieur à la moyenne (CREC II 14 juin 2010/117). En l'espèce, il apparaît justifié de réduire la note litigieuse d'un tiers. d) En définitive, la note d'honoraires et de débours établie le 27 janvier 2009 par l'intimé doit être ramenée au montant arrondi de 8'467 fr. ([14'030 fr. 75 – 1'330 fr.] x 2/3), hors TVA.</w:t>
      </w:r>
    </w:p>
    <w:p>
      <w:r>
        <w:rPr>
          <w:b/>
        </w:rPr>
        <w:t>E. 6</w:t>
      </w:r>
    </w:p>
    <w:p>
      <w:r>
        <w:t>En conclusion, le recours doit être partiellement admis et le prononcé réformé au chiffre I de son dispositif en ce sens que le montant des honoraires et débours dus par la recourante à l'intimé est arrêté à 8'467 fr., TVA non comprise, dont à déduire la provision de 3'000 fr. déjà versée, le prononcé étant confirmé pour le surplus. Les frais de deuxième instance de la recourante sont arrêtés à 150 fr. (art. 249 TFJC [tarif du 4 décembre 1984 des frais judiciaires en matière civile; RSV 270.11.5]). Obtenant partiellement gain de cause, la recourante a droit à des dépens de deuxième instance réduits. Dès lors qu'elle a agi sans l'aide d'un mandataire professionnel, ceux-ci sont fixés à 50 fr., en remboursement d'un tiers de ses frais de justice. Par ces motifs, la Chambre des recours du Tribunal cantonal, statuant à huis clos, prononce : I. Le recours est partiellement admis.</w:t>
      </w:r>
    </w:p>
    <w:p>
      <w:r>
        <w:t>- 13 - II. Le prononcé est réformé au chiffre I de son dispositif comme il suit: I.- arrête à 8'467 fr. (huit mille quatre cent soixante-sept francs), TVA non comprise, le montant des honoraires et débours dus par G.________ à Me R.________, dont à déduire la provision de 3'000 fr. (trois mille francs) déjà versée. Le prononcé est confirmé pour le surplus. III. Les frais de deuxième instance de la recourante sont arrêtés à 150 fr. (cent cinquante francs). IV. L'intimé R.________ doit verser à la recourante G.________ la somme de 50 fr. (cinquante francs) à titre de dépens de deuxième instance. V. L'arrêt motivé est exécutoire. Le président : La greffière : Du 29 novembre 2010 Le dispositif de l'arrêt qui précède est communiqué par écrit aux intéressés. La greffière :</w:t>
      </w:r>
    </w:p>
    <w:p>
      <w:r>
        <w:t>- 14 - Du L'arrêt qui précède, dont la rédaction a été approuvée à huis clos, est notifié en expédition complète, par l'envoi de photocopies, à : - Mme G.________, - Me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