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JX09.019830 vom 19. Januar 2010</w:t>
      </w:r>
    </w:p>
    <w:p>
      <w:r>
        <w:t>VD Tribunal cantonal, 2010-01-19, FR</w:t>
      </w:r>
    </w:p>
    <w:p>
      <w:r>
        <w:rPr>
          <w:b/>
        </w:rPr>
        <w:t xml:space="preserve">Quelle: </w:t>
      </w:r>
      <w:r>
        <w:t>https://mcp.opencaselaw.ch/entscheid/vd_gerichte_JX09.019830</w:t>
      </w:r>
    </w:p>
    <w:p>
      <w:r>
        <w:t>FR: VD_GERICHTE JX09.019830 du 19 janvier 2010</w:t>
      </w:r>
    </w:p>
    <w:p>
      <w:r>
        <w:t>IT: VD_GERICHTE JX09.019830 del 19 gennaio 2010</w:t>
      </w:r>
    </w:p>
    <w:p>
      <w:pPr>
        <w:pStyle w:val="Heading2"/>
      </w:pPr>
      <w:r>
        <w:t>Erwägungen</w:t>
      </w:r>
    </w:p>
    <w:p>
      <w:r>
        <w:rPr>
          <w:b/>
        </w:rPr>
        <w:t>E. 5</w:t>
      </w:r>
    </w:p>
    <w:p>
      <w:r>
        <w:t>Le recourant fait grief à l'intimé de ne l'avoir pas suffisamment informé du montant de ses honoraires et de ne pas lui avoir demandé des provisions suffisantes. L'art. 12 let. i LLCA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 facturation a expressément été rappelée (Bulletin officiel du Conseil des Etats [BO-CE] 1999, p. 1172).</w:t>
      </w:r>
    </w:p>
    <w:p>
      <w:r>
        <w:t>- 10 - La loi sur la profession d'avocat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39 ; JT 2003 III 67 ; JT 1990 III 66). En l'espèce, le recourant exploite en raison individuelle une entreprise dont l'objet est la "gestion financière, conseils dans le domaine des assurances; fiduciaire; courtage dans le domaine de l'immobilier; bureau de change; conseil aux entreprises dans le domaine de l'organisation et de la réorganisation" (allégués nos 1 et 2 de la demande du 18 février 2008). Il a mandaté l'intimé pour faire valoir en justice une prétention de courtage. Au vu de ces éléments, il est un client rompu aux affaires, à même de se représenter la valeur du travail de l'avocat. Une éventuelle insuffisance des provisions requises ne justifie dès lors pas la réduction de la note litigieuse. Le recours doit être rejeté sur ce point.</w:t>
      </w:r>
    </w:p>
    <w:p>
      <w:r>
        <w:rPr>
          <w:b/>
        </w:rPr>
        <w:t>E. 6</w:t>
      </w:r>
    </w:p>
    <w:p>
      <w:r>
        <w:t>En conclusion, le recours doit être rejeté et le prononcé attaqué confirmé. Les frais de deuxième instance du recourant sont arrêtés à 150 fr. (art. 249 TFJC; tarif du 4 décembre 1984 des frais judiciaires en matière civile; RSV 270.11.5). L'intimé n'a pas droit à des dépens de deuxième instance, ayant agi pour son propre compte.</w:t>
      </w:r>
    </w:p>
    <w:p>
      <w:r>
        <w:t>- 11 - Par ces motifs, la Chambre des recours du Tribunal cantonal, statuant à huis clos, prononce : I. Le recours est rejeté. II. Le prononcé est confirmé. III. Les frais de deuxième instance du recourant F.________ sont arrêtés à 150 fr. (cent cinquante francs). IV. Il n'est pas alloué de dépens de deuxième instance. V. L'arrêt motivé est exécutoire. Le président : Le greffier : Du 19 janvier 2010 Le dispositif de l'arrêt qui précède est communiqué par écrit aux intéressés. Le greffier :</w:t>
      </w:r>
    </w:p>
    <w:p>
      <w:r>
        <w:t>- 12 - Du L'arrêt qui précède, dont la rédaction a été approuvée à huis clos, est notifié en expédition complète, par l'envoi de photocopies, à : - Me Dominique Rigot (pour F.________), - Me D.________.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