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JU10.041537 vom 23. Januar 2012</w:t>
      </w:r>
    </w:p>
    <w:p>
      <w:r>
        <w:t>VD Tribunal cantonal, 2012-01-23, FR</w:t>
      </w:r>
    </w:p>
    <w:p>
      <w:r>
        <w:rPr>
          <w:b/>
        </w:rPr>
        <w:t xml:space="preserve">Quelle: </w:t>
      </w:r>
      <w:r>
        <w:t>https://mcp.opencaselaw.ch/entscheid/vd_gerichte_JU10.041537</w:t>
      </w:r>
    </w:p>
    <w:p>
      <w:r>
        <w:t>FR: VD_GERICHTE JU10.041537 du 23 janvier 2012</w:t>
      </w:r>
    </w:p>
    <w:p>
      <w:r>
        <w:t>IT: VD_GERICHTE JU10.041537 del 23 gennaio 2012</w:t>
      </w:r>
    </w:p>
    <w:p>
      <w:pPr>
        <w:pStyle w:val="Heading2"/>
      </w:pPr>
      <w:r>
        <w:t>Erwägungen</w:t>
      </w:r>
    </w:p>
    <w:p>
      <w:r>
        <w:rPr>
          <w:b/>
        </w:rPr>
        <w:t>E. 3</w:t>
      </w:r>
    </w:p>
    <w:p>
      <w:r>
        <w:t>L'appelant prétend tout d'abord ne pas avoir les moyens de s'acquitter de la contribution fixée par le premier juge, en arguant du fait qu'il est au RI, que le CSR Lausanne offre de lui payer un loyer ne dépassant pas 765 fr. par mois et que ce même centre lui paie à ce jour ses frais d'hébergement à Jeunotel. Il soutient par ailleurs que la capacité de gain de l'intimée est pleine et entière.</w:t>
      </w:r>
    </w:p>
    <w:p>
      <w:r>
        <w:rPr>
          <w:b/>
        </w:rPr>
        <w:t>E. 3.1</w:t>
      </w:r>
    </w:p>
    <w:p>
      <w:r>
        <w:t>Selon l'art. 176 al. 1 ch. 1 CC relatif à l'organisation de la vie séparée des époux, le montant de la contribution d'entretien se détermine en fonction des facultés économiques et des besoins respectifs des époux. Le revenu effectif du débiteur est l'un des critères à prendre en considération lorsque l'on veut fixer le montant de la contribution. Pour déterminer le montant de la contribution à partir des revenus et charges du débiteur d'entretien, le législateur n'a pas arrêté de mode de calcul pour ce faire. L'une des méthodes que préconise la doctrine et qui est considérée comme conforme au droit fédéral en cas de situations financières moyennes, tant que dure le mariage,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les dépenses non strictement nécessaires sont ajoutées, l'excédent est en règle générale réparti par moitié entre les époux (TF 5A_46/ 2009 du 22 mai 2009 c. 4; TF 5A_515/2008 du 1er décembre 2008 c. 2.1). Il résulte de la jurisprudence que lorsqu'on ne peut plus sérieusement compter sur une reprise de la vie commune, le but de rendre les époux financièrement indépendants gagne en importance et il convient de se référer aux critères applicables à l'entretien après le</w:t>
      </w:r>
    </w:p>
    <w:p>
      <w:r>
        <w:t>- 10 - divorce, même dans le cadre de mesures protectrices ou provisionnelles (TF 5A_205/2010 du 12 juillet 2010 c. 4.2.3, publié in FamPra.ch 2010 p. 894; TF 5A_710/2009 du 22 février 2010 c. 4.1 et les références citées). Un conjoint peut se voir imputer un revenu hypothétique supérieur à celui qu'il obtient effectivement de son travail, pour autant qu'une augmentation correspondante de revenu soit effectivement possible et qu'elle puisse raisonnablement être exigée de lui. Lorsque la possibilité réelle d'obtenir un revenu supérieur n'existe pas, il faut en faire abstraction. Peu importe, en principe, la raison pour laquelle un époux renonce au revenu supérieur pris en considération : s'il s'abstient par mauvaise volonté ou par négligence ou s'il renonce intentionnellement à réaliser un revenu suffisant pour assurer l'entretien de sa famille, le juge peut tabler sur le revenu que cet époux pourrait réaliser en faisant preuve de bonne volonté (ATF 128 III 4 c. 4 p. 5 ss; 127 III 136 c. 2a in fine p. 139). Le droit à l'entretien reste toutefois fondé sur les art. 163 ss CC (ATF 130 III 537 c. 3.2 p. 541; Gloor, Basler Kommentar, 3ème éd., n. 10 ad art. 137 CC). Dans chaque cas concret, il s'agit d'examiner si et dans quelle mesure on peut exiger de l'époux qu'il prenne une activité lucrative, ou augmente celle qu'il exerce déjà, compte tenu de son âge, de son état de santé, de sa formation et, cas échéant, du temps plus ou moins long durant lequel il a été éloigné de la vie professionnelle (ATF 114 II 13 c. 5; 114 II 301 c. 3a). S'il entend exiger de lui qu'il reprenne une activité lucrative, le juge doit lui accorder un délai d'adaptation approprié : l'époux doit avoir en effet suffisamment de temps pour s'adapter à sa nouvelle situation, notamment lorsqu'il doit trouver un emploi. Ce délai doit par ailleurs être fixé en fonction des circonstances concrètes du cas particulier (ATF 129 III c. 2; 114 II 13 c. 5; sur tous ces points TF 5A_743/2010 du 10 février 2011 c. 4).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dix ans révolus, et de 100%</w:t>
      </w:r>
    </w:p>
    <w:p>
      <w:r>
        <w:t>- 11 - avant qu'il n'ait atteint l'âge de seize ans révolus (TF 5C_237/2006 du 10 janvier 2007 c. 2.2; TF 5C_48/2001 du 28 août 2001 c. 4b, publié in FramPra.ch 2002. p. 145 ss, spéc. p. 148; ATF 137 III 102 c. 4.2.2.2; ATF 115 II 6 c.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(TF 5A_210/2008 du 14 novembre 2008 c 3.2). La prise en compte d'un revenu hypothétique dépend de deux conditions : il s'agit premièrement de déterminer si l'on peut raisonnablement exiger de la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destiné à la publication). Ensuite, le juge doit établir si la personne a la possibilité effective d'exercer l'activité ainsi déterminée et quel revenu elle peut en obtenir, compte tenu des circonstances subjectives susmentionnées, ainsi que du marché du travail; il s'agit-là d'une question de fait (ATF 128 III 4 c. 4c/bb; TF 5A_18/2011 c. 3.1.1; TF 5A_435/2011 du 14 novembre 2011 c. 6.2; Hohl, Questions choisies en matière de recours au Tribunal fédéral, Le droit du divorce : Questions actuelles et besoins de réforme, Zurich, Bâle, Genève 2008, 145-172). Pour arrêter le montant du salaire, le juge peut éventuellement se baser sur l'enquête suisse sur la structure des salaires, réalisée par l'Office fédéral de la statistique, ou sur d'autres sources (conventions collectives de travail; Philipp Mühlhauser, Das Lohnbuch 2010, Mindestlöhne sowie orts- und berufübliche Löhne in der Schweiz, Zurich 2010; ATF 137 III 118 c. 3.2; TF 5A_99/2011 du 26 septembre 2011 c. 7.4.1 destiné à la publication).</w:t>
      </w:r>
    </w:p>
    <w:p>
      <w:r>
        <w:t>- 12 - Les principes relatifs au revenu hypothétique valent tant pour le débiteur que pour le créancier d'entretien; un revenu hypothétique peut en effet aussi être imputé au créancier d'entretien (TF 5A_838/2009 du 6 mai 2010, in FamPra.ch 2010 no 45 p. 669; TF 5P. 63/2006 du 3 mai 2006 c. 3.2).</w:t>
      </w:r>
    </w:p>
    <w:p>
      <w:r>
        <w:rPr>
          <w:b/>
        </w:rPr>
        <w:t>E. 3.2</w:t>
      </w:r>
    </w:p>
    <w:p>
      <w:r>
        <w:t>S'agissant de l'intimée, le premier juge a retenu qu'elle n'exerçait aucune activité lucrative. La séparation remonte à la mi- novembre 2011. Les critères applicables à l'entretien après divorce ne sont ainsi pas encore applicables. Par ailleurs, on ne peut pas exiger de l'intimée qu'elle ait une activité lucrative, dès lors que son enfant n'a pas encore dix ans. Une fois cet âge atteint, l'imputation d'un revenu hypothétique pourra, selon les circonstances, être envisagée.</w:t>
      </w:r>
    </w:p>
    <w:p>
      <w:r>
        <w:rPr>
          <w:b/>
        </w:rPr>
        <w:t>E. 3.3</w:t>
      </w:r>
    </w:p>
    <w:p>
      <w:r>
        <w:t>Quant à l'appelant, l'autorité de première instance a retenu qu'il aurait été licencié récemment et qu'il est à même de réaliser un salaire mensuel brut de 4'300 fr. ou net de 3'600 fr., ce qui correspond au revenu perçu lors de sa précédente activité en tant que magasinier auprès de l'entreprise [...]. L'appelant, qui ne conteste pas que sa capacité de gain est pleine et entière, se contente de produire le décompte du mois de novembre 2011 de la Caisse cantonale de chômage. 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w:t>
      </w:r>
    </w:p>
    <w:p>
      <w:r>
        <w:t>- 13 - d'assurance sociale (ATF 137 III 118 c. 3.1; TF 5A_588/2010 du 12 janvier 2011 c. 2.3). C'est pourquoi, le versement régulier d'indemnités de chômage sans suspension ou l'octroi d'un revenu d'insertion constitue tout au plus un indice permettant de retenir, en fait, qu'une personne a entrepris tout ce qu'on pouvait raisonnablement exiger d'elle pour éviter de se trouver sans revenus et, partant, qu'elle a fait des recherches pour retrouver un emploi (TF 5A_248/2011 du 14 novembre 2011 c. 4.1; TF 5A_9/2011 du 26 septembre 2011 c. 7.4.2 destiné à la publication; TF 5A_724/2009 du 26 avril 2010 c. 5.3, publié in FamPra.ch 2010 673). En l'espèce, le fait que l'appelant perçoive de l'assurance- chômage des indemnités journalières inférieures au montant dont il pourrait bénéficier s'il était actif sur le marché de l'emploi est sans pertinence dès lors qu'un revenu hypothétique a été imputé à l'appelant. Il n'y a pas lieu de s'écarter du montant de 4'300 fr. brut retenu à ce titre par le premier juge, lequel se situe en dessous du salaire mensuel brut moyen perçu en 2008 pour des activités similaires et répétitives, que l'appelant serait à même de réaliser sans formation spécifique, dans le domaine des services dans lequel il était actif précédemment (cf. Annuaire statistique de la Suisse 2010, pp. 108 ss).</w:t>
      </w:r>
    </w:p>
    <w:p>
      <w:r>
        <w:rPr>
          <w:b/>
        </w:rPr>
        <w:t>E. 3.4</w:t>
      </w:r>
    </w:p>
    <w:p>
      <w:r>
        <w:t>A l'exception de la charge de loyer, l'appelant ne discute pas les éléments pris en compte dans le calcul du minimum vital tel qu'opéré par le premier juge. S'agissant du loyer, l'appelant précise être logé dans une chambre d'hôtel, qui représente un coût quotidien de 80 fr. assuré par le CSR. Il ajoute qu'un éventuel loyer, pour autant qu'il ne dépasse pas 765 fr. par mois, serait assumé par le même centre social. Le logement à l'hôtel est une situation provisoire, de laquelle il ne découle pas une charge supplémentaire pour l'appelant, dès lors que ce coût est assumé par un tiers. Quant à la charge de loyer alléguée (765 fr.), elle est légèrement inférieure à celle retenue par le premier juge. Le fait que le CSR s'engage à l'assumer, comme soutenu par l'appelant, est sans incidence sur les conclusions de l'appel, puisqu'un tel soutien financier – qui ne ressort du reste pas de l'attestation produite qui indique</w:t>
      </w:r>
    </w:p>
    <w:p>
      <w:r>
        <w:t>- 14 - que le CSR se porte caution simple - a pour effet de diminuer les charges de l'intéressé (et non de les augmenter), et par conséquent d'accroître l'excédent. Il n'y a donc pas lieu d'en tenir compte, sous peine de statuer ultra petita. Le moyen est infondé.</w:t>
      </w:r>
    </w:p>
    <w:p>
      <w:r>
        <w:rPr>
          <w:b/>
        </w:rPr>
        <w:t>E. 4</w:t>
      </w:r>
    </w:p>
    <w:p>
      <w:r>
        <w:t>4.1 L'appelant soutient encore que l'interdiction de périmètre prononcée par le premier juge est infondée : la plainte pénale déposée contre lui par son épouse a été retirée et la procédure pénale dirigée contre lui classée.</w:t>
      </w:r>
    </w:p>
    <w:p>
      <w:r>
        <w:rPr>
          <w:b/>
        </w:rPr>
        <w:t>E. 4.2</w:t>
      </w:r>
    </w:p>
    <w:p>
      <w:r>
        <w:t>L’art. 28b al. 1 ch. 1 CC, applicable par renvoi de l'art. 172 al. 3 2ème phrase CC, prévoit qu’en cas de violence, de menaces ou de harcèlement, le demandeur peut requérir le juge d’interdire à l’auteur de l’atteinte, en particulier de l’approcher ou d’accéder à un périmètre déterminé autour de son logement. Selon la jurisprudence du Tribunal fédéral (TF 5A_377/2009 du 3 septembre 2009 c. 5.3.1), la violence s’entend comme une atteinte directe à l'intégrité physique, psychique, sexuelle ou sociale d'une personne. La violence psychique peut se manifester notamment par de la violence verbale, des bris d’objets, des menaces de suicide ou encore par une pression économique. Quant à la violence sociale, elle peut par exemple prendre la forme d’un isolement de la victime, ou encore d’un contrôle ou d’une limitation de ses contacts (Jeandin/ Peyrot, op. cit. , n. 12 et 13 ad art. 28b CC et les réf. citées). Cette atteinte doit présenter un certain degré d'intensité, tout comportement socialement incorrect n'étant pas constitutif d'une atteinte à la personnalité. Les menaces se rapportent à des situations où des atteintes illicites à la personnalité sont à prévoir. Dans ce cas également, la menace proférée doit être sérieuse et susciter chez la victime une crainte légitime pour son intégrité physique, psychique, sexuelle ou sociale ou à celles de personnes qui lui sont proches, à l’instar de ses enfants (Jeandin/ Peyrot/ op. cit., n. 12 et 13 ad art. 2b CC ; rapport de la Commission des affaires juridiques du Conseil</w:t>
      </w:r>
    </w:p>
    <w:p>
      <w:r>
        <w:t>- 15 - national, Initiative parlementaire, Protection contre la violence dans la famille et dans le couple, FF 2005 p. 6437ss, p. 6450). Lorsque le juge ordonne des mesures de protection selon l’art. 28b al. 1 CC, qui ne prévoit d’ailleurs pas une liste exhaustive, il doit tenir compte du principe de proportionnalité. Ainsi, ces mesures doivent être adéquates, nécessaires et adaptées au cas concret. Le juge doit choisir une mesure suffisamment efficace pour protéger la victime et simultanément la moins incisive pour l’auteur de l’atteinte (Jeandin/ Peyrot, op. cit., n. 15 à 17 ad art. 28b CC ; TF 5A_377/2009 du 3 septembre 2009 c. 5.3.2). Le principe de proportionnalité vaut aussi pour la durée des mesures. L’art. 28b CC ne prévoyant pas de limite temporelle, le juge a la faculté de décider du caractère limité ou illimité dans le temps de celles-ci, usant en celà de son pouvoir discrétionnaire (Jeandin/ Peyrot, op. cit. , n. 17 ad art. 28b CC).</w:t>
      </w:r>
    </w:p>
    <w:p>
      <w:r>
        <w:rPr>
          <w:b/>
        </w:rPr>
        <w:t>E. 4.3</w:t>
      </w:r>
    </w:p>
    <w:p>
      <w:r>
        <w:t>Le premier juge a retenu que T.________ consommait de l'alcool massivement toutes les fins de semaine, qu'il faisait régner au domicile conjugal un climat de terreur, au point que l'épouse avait dû se réfugier chez sa mère chaque week-end, s'était vu contrainte de requérir à plusieurs reprises l'intervention de la police, et qu'il se justifiait, au vu de cette situation, d'interdire à T.________ d'approcher de son épouse et du fils de celle-ci ou de les importuner.</w:t>
      </w:r>
    </w:p>
    <w:p>
      <w:r>
        <w:rPr>
          <w:b/>
        </w:rPr>
        <w:t>E. 4.4</w:t>
      </w:r>
    </w:p>
    <w:p>
      <w:r>
        <w:t>La seule pièce produite par l'appelant en lien avec la question a été écartée. Par ailleurs, rien au dossier ne permet de penser que l'interdiction de périmètre n'est pas fondée. C'est dès lors avec raison que le premier juge a interdit à T.________ de s'approcher de son épouse et du fils de celle-ci à moins de cent mètres ou de l'importuner de quelque manière que ce soit, dès lors qu'il a été établi que les débordements et menaces de l'appelant, qui abusait de boissons alcooliques en fin de semaine, ont nécessité, à plusieurs reprises, l'intervention de la police. Le moyen de l'appelant sur ce second point doit donc être rejeté et l'interdiction de périmètre maintenue.</w:t>
      </w:r>
    </w:p>
    <w:p>
      <w:r>
        <w:t>- 16 -</w:t>
      </w:r>
    </w:p>
    <w:p>
      <w:r>
        <w:rPr>
          <w:b/>
        </w:rPr>
        <w:t>E. 5</w:t>
      </w:r>
    </w:p>
    <w:p>
      <w:r>
        <w:t>En conclusion, l'appel de T.________ doit être rejeté.</w:t>
      </w:r>
    </w:p>
    <w:p>
      <w:r>
        <w:rPr>
          <w:b/>
        </w:rPr>
        <w:t>E. 6</w:t>
      </w:r>
    </w:p>
    <w:p>
      <w:r>
        <w:t>En matière de mesures protectrices de l'union conjugale, seule la première instance bénéficie de la gratuité. Les frais judiciaires de la procédure d'appel peuvent être mis à la charge d'une partie. Les frais comprennent les frais judiciaires et les dépens (art. 95 al. 1 CPC). Ils sont fixés d'office (art. 105 CPC), selon le tarif (art. 96 CPC) des dépens en matière civile (TDC [tarif des dépens en matière civile du 23 novembre 2010; RSV 270.11.6]). En règle générale, la partie succombante (art. 106 al. 1 CPC) doit verser à la partie victorieuse tous les frais nécessaires causés par le litige (art. 37 al. 2 CDPJ [code de droit privé judiciaire vaudois du 12 janvier 2010; RSV 211.02]). Toutefois, en droit de la famille, le juge peut s'écarter des règles générales et répartir les frais selon sa libre appréciation, soit en équité (art. 107 al. 1 CPC). En l'espèce, la requête d'assistance judiciaire de T.________ doit être rejetée, l'appel étant d'emblée dénué de chances de succès (art. 117 CPC), et les frais judiciaires, arrêtés à 600 francs (art. 65 al. 3 TFJC [tarif des frais judiciaires civils du 28 septembre 2010; RSV 270.11.5]) sont mis à sa charge. Par ces motifs, la juge déléguée de la Cour d’appel civile du Tribunal cantonal, statuant à huis clos, en application de l'art. 312 al. 1 CPC, prononce : I. L’appel est rejeté. II. Le prononcé est confirmé.</w:t>
      </w:r>
    </w:p>
    <w:p>
      <w:r>
        <w:t>- 17 - III. La requête d'assistance judiciaire est rejetée. IV. Les frais judiciaires de deuxième instance, arrêtés à 600 fr. (six cents francs), sont mis à la charge de l'appelant T.________. V. L'arrêt motivé est exécutoire. La juge déléguée : Le greffier : Du 26 janvier 2012 Le dispositif de l'arrêt qui précède est communiqué par écrit aux intéressés. Le greffier : Du L'arrêt qui précède, dont la rédaction a été approuvée à huis clos, est notifié en expédition complète, par l'envoi de photocopies, à : - Me Jean-Pierre Bloch (pour T.________), - Me Sofia Arsenio (pour Z.________). La juge déléguée de la Cour d’appel civile considère que la valeur litigieuse est supérieure à 30'000 francs.</w:t>
      </w:r>
    </w:p>
    <w:p>
      <w:r>
        <w:t>- 18 -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